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spacing w:before="156" w:beforeLines="50" w:after="156" w:afterLines="50" w:line="360" w:lineRule="auto"/>
        <w:jc w:val="center"/>
        <w:rPr>
          <w:rFonts w:hint="eastAsia" w:ascii="黑体" w:hAnsi="黑体" w:eastAsia="黑体"/>
          <w:b/>
          <w:bCs/>
          <w:color w:val="4C4C4C"/>
          <w:kern w:val="0"/>
          <w:sz w:val="32"/>
          <w:szCs w:val="32"/>
          <w:shd w:val="clear" w:color="auto" w:fill="FFFFFF"/>
        </w:rPr>
      </w:pPr>
      <w:r>
        <w:rPr>
          <w:rFonts w:hint="eastAsia" w:ascii="黑体" w:hAnsi="黑体" w:eastAsia="黑体"/>
          <w:b/>
          <w:bCs/>
          <w:color w:val="4C4C4C"/>
          <w:kern w:val="0"/>
          <w:sz w:val="32"/>
          <w:szCs w:val="32"/>
          <w:shd w:val="clear" w:color="auto" w:fill="FFFFFF"/>
          <w:lang w:val="en-US" w:eastAsia="zh-CN"/>
        </w:rPr>
        <w:t>对</w:t>
      </w:r>
      <w:r>
        <w:rPr>
          <w:rFonts w:hint="eastAsia" w:ascii="黑体" w:hAnsi="黑体" w:eastAsia="黑体"/>
          <w:b/>
          <w:bCs/>
          <w:color w:val="4C4C4C"/>
          <w:kern w:val="0"/>
          <w:sz w:val="32"/>
          <w:szCs w:val="32"/>
          <w:shd w:val="clear" w:color="auto" w:fill="FFFFFF"/>
        </w:rPr>
        <w:t>提高本科毕业生就业竞争力的探究</w:t>
      </w:r>
    </w:p>
    <w:p>
      <w:pPr>
        <w:widowControl/>
        <w:shd w:val="clear" w:color="auto" w:fill="FFFFFF"/>
        <w:autoSpaceDE w:val="0"/>
        <w:spacing w:before="156" w:beforeLines="50" w:after="156" w:afterLines="50" w:line="360" w:lineRule="auto"/>
        <w:jc w:val="right"/>
        <w:rPr>
          <w:rFonts w:hint="eastAsia" w:ascii="黑体" w:hAnsi="黑体" w:eastAsia="黑体"/>
          <w:b w:val="0"/>
          <w:bCs w:val="0"/>
          <w:color w:val="4C4C4C"/>
          <w:kern w:val="0"/>
          <w:sz w:val="24"/>
          <w:szCs w:val="24"/>
          <w:shd w:val="clear" w:color="auto" w:fill="FFFFFF"/>
          <w:lang w:val="en-US" w:eastAsia="zh-CN"/>
        </w:rPr>
      </w:pPr>
      <w:r>
        <w:rPr>
          <w:rFonts w:hint="eastAsia" w:ascii="黑体" w:hAnsi="黑体" w:eastAsia="黑体"/>
          <w:b w:val="0"/>
          <w:bCs w:val="0"/>
          <w:color w:val="4C4C4C"/>
          <w:kern w:val="0"/>
          <w:sz w:val="24"/>
          <w:szCs w:val="24"/>
          <w:shd w:val="clear" w:color="auto" w:fill="FFFFFF"/>
          <w:lang w:eastAsia="zh-CN"/>
        </w:rPr>
        <w:t>——</w:t>
      </w:r>
      <w:r>
        <w:rPr>
          <w:rFonts w:hint="eastAsia" w:ascii="黑体" w:hAnsi="黑体" w:eastAsia="黑体"/>
          <w:b w:val="0"/>
          <w:bCs w:val="0"/>
          <w:color w:val="4C4C4C"/>
          <w:kern w:val="0"/>
          <w:sz w:val="24"/>
          <w:szCs w:val="24"/>
          <w:shd w:val="clear" w:color="auto" w:fill="FFFFFF"/>
          <w:lang w:val="en-US" w:eastAsia="zh-CN"/>
        </w:rPr>
        <w:t>以西北师范大学数学与统计学院为例</w:t>
      </w:r>
    </w:p>
    <w:p>
      <w:pPr>
        <w:keepNext w:val="0"/>
        <w:keepLines w:val="0"/>
        <w:pageBreakBefore w:val="0"/>
        <w:widowControl/>
        <w:shd w:val="clear" w:color="auto" w:fill="FFFFFF"/>
        <w:kinsoku/>
        <w:overflowPunct/>
        <w:topLinePunct w:val="0"/>
        <w:autoSpaceDE w:val="0"/>
        <w:autoSpaceDN/>
        <w:bidi w:val="0"/>
        <w:adjustRightInd/>
        <w:snapToGrid/>
        <w:spacing w:before="156" w:beforeLines="50" w:after="156" w:afterLines="50" w:line="440" w:lineRule="exact"/>
        <w:jc w:val="left"/>
        <w:textAlignment w:val="auto"/>
        <w:outlineLvl w:val="9"/>
        <w:rPr>
          <w:rFonts w:ascii="宋体" w:hAnsi="宋体" w:eastAsia="宋体"/>
          <w:color w:val="4C4C4C"/>
          <w:kern w:val="0"/>
          <w:sz w:val="24"/>
          <w:szCs w:val="24"/>
          <w:shd w:val="clear" w:color="auto" w:fill="FFFFFF"/>
        </w:rPr>
      </w:pPr>
      <w:r>
        <w:rPr>
          <w:rFonts w:hint="eastAsia" w:ascii="黑体" w:hAnsi="黑体" w:eastAsia="黑体"/>
          <w:b w:val="0"/>
          <w:bCs w:val="0"/>
          <w:color w:val="4C4C4C"/>
          <w:kern w:val="0"/>
          <w:sz w:val="24"/>
          <w:szCs w:val="24"/>
          <w:shd w:val="clear" w:color="auto" w:fill="FFFFFF"/>
        </w:rPr>
        <w:t xml:space="preserve"> 摘要:</w:t>
      </w:r>
      <w:r>
        <w:rPr>
          <w:rFonts w:hint="eastAsia" w:ascii="宋体" w:hAnsi="宋体" w:eastAsia="宋体"/>
          <w:color w:val="4C4C4C"/>
          <w:kern w:val="0"/>
          <w:sz w:val="24"/>
          <w:szCs w:val="24"/>
          <w:shd w:val="clear" w:color="auto" w:fill="FFFFFF"/>
        </w:rPr>
        <w:t xml:space="preserve"> 随着高校招生规模的不断扩大，高校毕业生“就业难”问题一直被社会各界所广泛关注。本文先借助于文献查找、麦克斯本科就业数据以及各高校就业质量分析报告对我国毕业生就业形势进行讨论；再结合西北师范大学数学与统计学院本科毕业生就业数据，对我院应届毕业生的就业现状进行分析；最后对我院在校生进行问卷调查，通过SPSS软件分析我院学生的就业观和就业心理。多方面探讨了本科毕业生就业困难的原因。从社会、学院、学生多个角度对本科毕业生就业长效机制的建立与完善的给出了意见和建议。本文的研究结果不仅有助于提高本院学生的就业竞争力，也对兄弟院校提高本科生就业率的有效举措的提出有一定的参考意义。</w:t>
      </w:r>
    </w:p>
    <w:p>
      <w:pPr>
        <w:keepNext w:val="0"/>
        <w:keepLines w:val="0"/>
        <w:pageBreakBefore w:val="0"/>
        <w:widowControl/>
        <w:shd w:val="clear" w:color="auto" w:fill="FFFFFF"/>
        <w:kinsoku/>
        <w:overflowPunct/>
        <w:topLinePunct w:val="0"/>
        <w:autoSpaceDE w:val="0"/>
        <w:autoSpaceDN/>
        <w:bidi w:val="0"/>
        <w:adjustRightInd/>
        <w:snapToGrid/>
        <w:spacing w:before="156" w:beforeLines="50" w:after="156" w:afterLines="50" w:line="440" w:lineRule="exact"/>
        <w:textAlignment w:val="auto"/>
        <w:outlineLvl w:val="9"/>
        <w:rPr>
          <w:rFonts w:ascii="宋体" w:hAnsi="宋体" w:eastAsia="宋体"/>
          <w:color w:val="FF0000"/>
          <w:kern w:val="0"/>
          <w:sz w:val="24"/>
          <w:szCs w:val="24"/>
          <w:shd w:val="clear" w:color="auto" w:fill="FFFFFF"/>
        </w:rPr>
      </w:pPr>
      <w:r>
        <w:rPr>
          <w:rFonts w:hint="eastAsia" w:ascii="黑体" w:hAnsi="黑体" w:eastAsia="黑体"/>
          <w:b w:val="0"/>
          <w:bCs w:val="0"/>
          <w:color w:val="4C4C4C"/>
          <w:kern w:val="0"/>
          <w:sz w:val="24"/>
          <w:szCs w:val="24"/>
          <w:shd w:val="clear" w:color="auto" w:fill="FFFFFF"/>
        </w:rPr>
        <w:t>关键字：</w:t>
      </w:r>
      <w:r>
        <w:rPr>
          <w:rFonts w:hint="eastAsia" w:ascii="宋体" w:hAnsi="宋体" w:eastAsia="宋体"/>
          <w:b w:val="0"/>
          <w:bCs w:val="0"/>
          <w:color w:val="4C4C4C"/>
          <w:kern w:val="0"/>
          <w:sz w:val="24"/>
          <w:szCs w:val="24"/>
          <w:shd w:val="clear" w:color="auto" w:fill="FFFFFF"/>
        </w:rPr>
        <w:t xml:space="preserve">  </w:t>
      </w:r>
      <w:r>
        <w:rPr>
          <w:rFonts w:hint="eastAsia" w:ascii="宋体" w:hAnsi="宋体" w:eastAsia="宋体"/>
          <w:b/>
          <w:bCs/>
          <w:color w:val="4C4C4C"/>
          <w:kern w:val="0"/>
          <w:sz w:val="24"/>
          <w:szCs w:val="24"/>
          <w:shd w:val="clear" w:color="auto" w:fill="FFFFFF"/>
        </w:rPr>
        <w:t xml:space="preserve"> </w:t>
      </w:r>
      <w:r>
        <w:rPr>
          <w:rFonts w:hint="eastAsia" w:ascii="宋体" w:hAnsi="宋体" w:eastAsia="宋体"/>
          <w:color w:val="4C4C4C"/>
          <w:kern w:val="0"/>
          <w:sz w:val="24"/>
          <w:szCs w:val="24"/>
          <w:shd w:val="clear" w:color="auto" w:fill="FFFFFF"/>
        </w:rPr>
        <w:t xml:space="preserve">大学生就业；职业认知； 生涯规划  </w:t>
      </w:r>
    </w:p>
    <w:p>
      <w:pPr>
        <w:pStyle w:val="3"/>
        <w:keepNext w:val="0"/>
        <w:keepLines w:val="0"/>
        <w:pageBreakBefore w:val="0"/>
        <w:widowControl w:val="0"/>
        <w:shd w:val="clear" w:color="auto" w:fill="FFFFFF"/>
        <w:kinsoku/>
        <w:wordWrap w:val="0"/>
        <w:overflowPunct/>
        <w:topLinePunct w:val="0"/>
        <w:autoSpaceDE w:val="0"/>
        <w:autoSpaceDN/>
        <w:bidi w:val="0"/>
        <w:adjustRightInd/>
        <w:snapToGrid/>
        <w:spacing w:before="156" w:beforeLines="50" w:after="156" w:afterLines="50" w:line="440" w:lineRule="exact"/>
        <w:ind w:firstLine="480" w:firstLineChars="200"/>
        <w:textAlignment w:val="auto"/>
        <w:outlineLvl w:val="9"/>
        <w:rPr>
          <w:color w:val="4C4C4C"/>
          <w:shd w:val="clear" w:color="auto" w:fill="FFFFFF"/>
        </w:rPr>
      </w:pPr>
      <w:r>
        <w:rPr>
          <w:rFonts w:hint="eastAsia"/>
          <w:color w:val="4C4C4C"/>
          <w:shd w:val="clear" w:color="auto" w:fill="FFFFFF"/>
        </w:rPr>
        <w:t>自1999年开始实行高校扩招以来，高校教育逐步从精英教育转变到大众教育。随着高校毕业人数逐年增加（如图1），出现了大学</w:t>
      </w:r>
      <w:r>
        <w:rPr>
          <w:rFonts w:hint="eastAsia"/>
          <w:color w:val="333333"/>
          <w:shd w:val="clear" w:color="auto" w:fill="FFFFFF"/>
        </w:rPr>
        <w:t>毕业生与用人单位直接见面</w:t>
      </w:r>
      <w:r>
        <w:rPr>
          <w:rFonts w:hint="eastAsia"/>
          <w:color w:val="4C4C4C"/>
          <w:shd w:val="clear" w:color="auto" w:fill="FFFFFF"/>
        </w:rPr>
        <w:t>的 “双向选择”“竞争上岗,择优录用”的就业方式和就业机制，与之而来严峻的就业形势和高校不断增加的就业压力，使得大学生的就业问题成为国家、高校和个人关注的一个热点问题。</w:t>
      </w:r>
    </w:p>
    <w:p>
      <w:pPr>
        <w:widowControl/>
        <w:shd w:val="clear" w:color="auto" w:fill="FFFFFF"/>
        <w:autoSpaceDE w:val="0"/>
        <w:spacing w:before="156" w:beforeLines="50" w:after="156" w:afterLines="50" w:line="360" w:lineRule="auto"/>
        <w:jc w:val="center"/>
        <w:rPr>
          <w:rFonts w:ascii="宋体" w:hAnsi="宋体" w:eastAsia="宋体"/>
          <w:color w:val="4C4C4C"/>
          <w:kern w:val="0"/>
          <w:sz w:val="24"/>
          <w:szCs w:val="24"/>
          <w:shd w:val="clear" w:color="auto" w:fill="FFFFFF"/>
        </w:rPr>
      </w:pPr>
      <w:r>
        <w:drawing>
          <wp:inline distT="0" distB="0" distL="0" distR="0">
            <wp:extent cx="3971925" cy="2534920"/>
            <wp:effectExtent l="0" t="0" r="9525" b="17780"/>
            <wp:docPr id="7" name="图片 7" descr="C:\Users\Drift\AppData\Local\Temp\ksohtml\wpsE5E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rift\AppData\Local\Temp\ksohtml\wpsE5E9.t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71925" cy="2534920"/>
                    </a:xfrm>
                    <a:prstGeom prst="rect">
                      <a:avLst/>
                    </a:prstGeom>
                    <a:noFill/>
                    <a:ln>
                      <a:noFill/>
                    </a:ln>
                  </pic:spPr>
                </pic:pic>
              </a:graphicData>
            </a:graphic>
          </wp:inline>
        </w:drawing>
      </w:r>
      <w:r>
        <w:rPr>
          <w:rFonts w:hint="eastAsia" w:ascii="宋体" w:hAnsi="宋体" w:eastAsia="宋体"/>
          <w:color w:val="4C4C4C"/>
          <w:kern w:val="0"/>
          <w:sz w:val="24"/>
          <w:szCs w:val="24"/>
          <w:shd w:val="clear" w:color="auto" w:fill="FFFFFF"/>
        </w:rPr>
        <w:t xml:space="preserve"> </w:t>
      </w:r>
    </w:p>
    <w:p>
      <w:pPr>
        <w:autoSpaceDE w:val="0"/>
        <w:spacing w:before="156" w:beforeLines="50" w:after="156" w:afterLines="50" w:line="360" w:lineRule="auto"/>
        <w:ind w:firstLine="560"/>
        <w:jc w:val="center"/>
        <w:rPr>
          <w:rFonts w:ascii="宋体" w:hAnsi="宋体" w:eastAsia="宋体"/>
          <w:sz w:val="24"/>
          <w:szCs w:val="24"/>
        </w:rPr>
      </w:pPr>
      <w:r>
        <w:rPr>
          <w:rFonts w:hint="eastAsia" w:ascii="宋体" w:hAnsi="宋体" w:eastAsia="宋体"/>
          <w:sz w:val="24"/>
          <w:szCs w:val="24"/>
        </w:rPr>
        <w:t>图1   2010-2018年全国高校毕业生人数统计及预测情况</w:t>
      </w:r>
    </w:p>
    <w:p>
      <w:pPr>
        <w:pageBreakBefore w:val="0"/>
        <w:kinsoku/>
        <w:wordWrap/>
        <w:overflowPunct/>
        <w:topLinePunct w:val="0"/>
        <w:autoSpaceDE w:val="0"/>
        <w:autoSpaceDN/>
        <w:bidi w:val="0"/>
        <w:adjustRightInd/>
        <w:snapToGrid/>
        <w:spacing w:before="156" w:beforeLines="50" w:after="156" w:afterLines="50" w:line="440" w:lineRule="exact"/>
        <w:jc w:val="left"/>
        <w:textAlignment w:val="auto"/>
        <w:rPr>
          <w:rFonts w:hint="eastAsia" w:ascii="黑体" w:hAnsi="黑体" w:eastAsia="黑体"/>
          <w:b w:val="0"/>
          <w:bCs w:val="0"/>
          <w:color w:val="4C4C4C"/>
          <w:kern w:val="0"/>
          <w:sz w:val="28"/>
          <w:szCs w:val="28"/>
        </w:rPr>
      </w:pPr>
    </w:p>
    <w:p>
      <w:pPr>
        <w:pageBreakBefore w:val="0"/>
        <w:kinsoku/>
        <w:wordWrap/>
        <w:overflowPunct/>
        <w:topLinePunct w:val="0"/>
        <w:autoSpaceDE w:val="0"/>
        <w:autoSpaceDN/>
        <w:bidi w:val="0"/>
        <w:adjustRightInd/>
        <w:snapToGrid/>
        <w:spacing w:before="156" w:beforeLines="50" w:after="156" w:afterLines="50" w:line="440" w:lineRule="exact"/>
        <w:jc w:val="left"/>
        <w:textAlignment w:val="auto"/>
        <w:rPr>
          <w:rFonts w:ascii="黑体" w:hAnsi="黑体" w:eastAsia="黑体"/>
          <w:b w:val="0"/>
          <w:bCs w:val="0"/>
          <w:color w:val="4C4C4C"/>
          <w:kern w:val="0"/>
          <w:sz w:val="28"/>
          <w:szCs w:val="28"/>
        </w:rPr>
      </w:pPr>
      <w:r>
        <w:rPr>
          <w:rFonts w:hint="eastAsia" w:ascii="黑体" w:hAnsi="黑体" w:eastAsia="黑体"/>
          <w:b w:val="0"/>
          <w:bCs w:val="0"/>
          <w:color w:val="4C4C4C"/>
          <w:kern w:val="0"/>
          <w:sz w:val="28"/>
          <w:szCs w:val="28"/>
        </w:rPr>
        <w:t>1.本科生就业情况及影响因素分析</w:t>
      </w:r>
    </w:p>
    <w:p>
      <w:pPr>
        <w:pStyle w:val="2"/>
        <w:pageBreakBefore w:val="0"/>
        <w:kinsoku/>
        <w:wordWrap/>
        <w:overflowPunct/>
        <w:topLinePunct w:val="0"/>
        <w:autoSpaceDN/>
        <w:bidi w:val="0"/>
        <w:adjustRightInd/>
        <w:snapToGrid/>
        <w:spacing w:line="440" w:lineRule="exact"/>
        <w:ind w:firstLine="0" w:firstLineChars="0"/>
        <w:textAlignment w:val="auto"/>
        <w:rPr>
          <w:rFonts w:hint="eastAsia" w:ascii="黑体" w:hAnsi="黑体" w:eastAsia="黑体" w:cs="黑体"/>
          <w:b w:val="0"/>
          <w:bCs w:val="0"/>
          <w:color w:val="4C4C4C"/>
          <w:kern w:val="0"/>
          <w:sz w:val="24"/>
          <w:szCs w:val="24"/>
          <w:shd w:val="clear" w:color="auto" w:fill="FFFFFF"/>
          <w:lang w:val="en-US" w:eastAsia="zh-CN" w:bidi="ar-SA"/>
        </w:rPr>
      </w:pPr>
      <w:r>
        <w:rPr>
          <w:rFonts w:hint="eastAsia" w:ascii="黑体" w:hAnsi="黑体" w:eastAsia="黑体" w:cs="黑体"/>
          <w:b w:val="0"/>
          <w:bCs w:val="0"/>
          <w:color w:val="4C4C4C"/>
          <w:kern w:val="0"/>
          <w:sz w:val="24"/>
          <w:szCs w:val="24"/>
          <w:shd w:val="clear" w:color="auto" w:fill="FFFFFF"/>
          <w:lang w:val="en-US" w:eastAsia="zh-CN" w:bidi="ar-SA"/>
        </w:rPr>
        <w:t>1.1国内就业形势研究</w:t>
      </w:r>
    </w:p>
    <w:p>
      <w:pPr>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jc w:val="left"/>
        <w:textAlignment w:val="auto"/>
        <w:rPr>
          <w:rFonts w:hint="eastAsia" w:ascii="黑体" w:hAnsi="黑体" w:eastAsia="黑体" w:cs="黑体"/>
          <w:b w:val="0"/>
          <w:bCs w:val="0"/>
          <w:color w:val="4C4C4C"/>
          <w:kern w:val="0"/>
          <w:sz w:val="24"/>
          <w:szCs w:val="24"/>
          <w:shd w:val="clear" w:color="auto" w:fill="FFFFFF"/>
        </w:rPr>
      </w:pPr>
      <w:r>
        <w:rPr>
          <w:rFonts w:hint="eastAsia" w:ascii="黑体" w:hAnsi="黑体" w:eastAsia="黑体" w:cs="黑体"/>
          <w:b w:val="0"/>
          <w:bCs w:val="0"/>
          <w:color w:val="4C4C4C"/>
          <w:kern w:val="0"/>
          <w:sz w:val="24"/>
          <w:szCs w:val="24"/>
          <w:shd w:val="clear" w:color="auto" w:fill="FFFFFF"/>
        </w:rPr>
        <w:t>1.1.1 毕业生就业单位的选择日益多样化，仍以企业为主。</w:t>
      </w:r>
    </w:p>
    <w:p>
      <w:pPr>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ind w:firstLine="480" w:firstLineChars="200"/>
        <w:jc w:val="left"/>
        <w:textAlignment w:val="auto"/>
        <w:rPr>
          <w:rFonts w:ascii="宋体" w:hAnsi="宋体" w:eastAsia="宋体"/>
          <w:color w:val="4C4C4C"/>
          <w:kern w:val="0"/>
          <w:sz w:val="24"/>
          <w:szCs w:val="24"/>
          <w:shd w:val="clear" w:color="auto" w:fill="FFFFFF"/>
        </w:rPr>
      </w:pPr>
      <w:r>
        <w:rPr>
          <w:rFonts w:hint="eastAsia" w:ascii="宋体" w:hAnsi="宋体" w:eastAsia="宋体"/>
          <w:color w:val="4C4C4C"/>
          <w:kern w:val="0"/>
          <w:sz w:val="24"/>
          <w:szCs w:val="24"/>
          <w:shd w:val="clear" w:color="auto" w:fill="FFFFFF"/>
        </w:rPr>
        <w:t>从调查数据来看，毕业生的就业单位主要还是以企业为主。例如兰州大学2017年毕业生就业质量报告显示：毕业生就业在企业、医疗卫生单位、党政机关单位分别占就业总人数的41.54%、14.43%、10.97%。西安交通大学2017年就业质量报告显示：在签约就业的本科毕业生中，民营企业、三资企业、国有企业、和机关分别占总就业人数的48.46%、12.59%、23.79%和 3.07%。西安电子科技大学、西北大学、厦门大学等高校，情况基本相同，具有普遍性。</w:t>
      </w:r>
    </w:p>
    <w:p>
      <w:pPr>
        <w:pageBreakBefore w:val="0"/>
        <w:kinsoku/>
        <w:wordWrap/>
        <w:overflowPunct/>
        <w:topLinePunct w:val="0"/>
        <w:autoSpaceDE w:val="0"/>
        <w:autoSpaceDN/>
        <w:bidi w:val="0"/>
        <w:adjustRightInd/>
        <w:snapToGrid/>
        <w:spacing w:before="156" w:beforeLines="50" w:after="156" w:afterLines="50" w:line="440" w:lineRule="exact"/>
        <w:ind w:firstLine="560"/>
        <w:textAlignment w:val="auto"/>
        <w:rPr>
          <w:rFonts w:ascii="宋体" w:hAnsi="宋体" w:eastAsia="宋体"/>
          <w:color w:val="4C4C4C"/>
          <w:kern w:val="0"/>
          <w:sz w:val="24"/>
          <w:szCs w:val="24"/>
          <w:shd w:val="clear" w:color="auto" w:fill="FFFFFF"/>
        </w:rPr>
      </w:pPr>
      <w:r>
        <w:rPr>
          <w:rFonts w:hint="eastAsia" w:ascii="宋体" w:hAnsi="宋体" w:eastAsia="宋体"/>
          <w:color w:val="4C4C4C"/>
          <w:kern w:val="0"/>
          <w:sz w:val="24"/>
          <w:szCs w:val="24"/>
          <w:shd w:val="clear" w:color="auto" w:fill="FFFFFF"/>
        </w:rPr>
        <w:t>但是，现如今，我国中小型企业太少，就业容量太小。2016年我国国内生产总值增长6.7%，创下1990年以来26年新低，整体经济下行首先会抑制就业市场对人才的需求，而大学毕业生的供给却逐年线性增长，使得尚处在转型期和初创期的新兴产业的企业所能提供的大学毕业生的就业岗位不足，造成了常年有大批就业困难学生持续积累，使得下一年大学生的就业竞争更趋白热化。</w:t>
      </w:r>
    </w:p>
    <w:p>
      <w:pPr>
        <w:autoSpaceDE w:val="0"/>
        <w:spacing w:before="156" w:beforeLines="50" w:after="156" w:afterLines="50" w:line="360" w:lineRule="auto"/>
        <w:rPr>
          <w:rFonts w:hint="eastAsia" w:ascii="黑体" w:hAnsi="黑体" w:eastAsia="黑体" w:cs="黑体"/>
          <w:b w:val="0"/>
          <w:bCs w:val="0"/>
          <w:color w:val="4C4C4C"/>
          <w:kern w:val="0"/>
          <w:sz w:val="24"/>
          <w:szCs w:val="24"/>
          <w:shd w:val="clear" w:color="auto" w:fill="FFFFFF"/>
        </w:rPr>
      </w:pPr>
      <w:r>
        <w:rPr>
          <w:rFonts w:hint="eastAsia" w:ascii="黑体" w:hAnsi="黑体" w:eastAsia="黑体" w:cs="黑体"/>
          <w:b w:val="0"/>
          <w:bCs w:val="0"/>
          <w:color w:val="4C4C4C"/>
          <w:kern w:val="0"/>
          <w:sz w:val="24"/>
          <w:szCs w:val="24"/>
          <w:shd w:val="clear" w:color="auto" w:fill="FFFFFF"/>
        </w:rPr>
        <w:t>1.1.2高质量就业导致升学比例提高</w:t>
      </w:r>
    </w:p>
    <w:p>
      <w:pPr>
        <w:autoSpaceDE w:val="0"/>
        <w:spacing w:before="156" w:beforeLines="50" w:after="156" w:afterLines="50" w:line="360" w:lineRule="auto"/>
        <w:jc w:val="center"/>
        <w:rPr>
          <w:rFonts w:ascii="宋体" w:hAnsi="宋体" w:eastAsia="宋体"/>
          <w:sz w:val="24"/>
          <w:szCs w:val="24"/>
        </w:rPr>
      </w:pPr>
      <w:r>
        <w:drawing>
          <wp:inline distT="0" distB="0" distL="0" distR="0">
            <wp:extent cx="4667250" cy="2352675"/>
            <wp:effectExtent l="0" t="0" r="0" b="9525"/>
            <wp:docPr id="6" name="图片 6" descr="C:\Users\Drift\AppData\Local\Temp\ksohtml\wpsE5E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Drift\AppData\Local\Temp\ksohtml\wpsE5EA.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67250" cy="2352675"/>
                    </a:xfrm>
                    <a:prstGeom prst="rect">
                      <a:avLst/>
                    </a:prstGeom>
                    <a:noFill/>
                    <a:ln>
                      <a:noFill/>
                    </a:ln>
                  </pic:spPr>
                </pic:pic>
              </a:graphicData>
            </a:graphic>
          </wp:inline>
        </w:drawing>
      </w:r>
      <w:r>
        <w:rPr>
          <w:rFonts w:hint="eastAsia" w:ascii="宋体" w:hAnsi="宋体" w:eastAsia="宋体"/>
          <w:color w:val="4C4C4C"/>
          <w:kern w:val="0"/>
          <w:sz w:val="24"/>
          <w:szCs w:val="24"/>
          <w:shd w:val="clear" w:color="auto" w:fill="FFFFFF"/>
        </w:rPr>
        <w:t xml:space="preserve"> </w:t>
      </w:r>
    </w:p>
    <w:p>
      <w:pPr>
        <w:autoSpaceDE w:val="0"/>
        <w:spacing w:before="156" w:beforeLines="50" w:after="156" w:afterLines="50" w:line="360" w:lineRule="auto"/>
        <w:jc w:val="center"/>
        <w:rPr>
          <w:rFonts w:ascii="宋体" w:hAnsi="宋体" w:eastAsia="宋体"/>
          <w:sz w:val="24"/>
          <w:szCs w:val="24"/>
        </w:rPr>
      </w:pPr>
      <w:r>
        <w:rPr>
          <w:rFonts w:hint="eastAsia" w:ascii="宋体" w:hAnsi="宋体" w:eastAsia="宋体"/>
          <w:sz w:val="24"/>
          <w:szCs w:val="24"/>
        </w:rPr>
        <w:t>图1-1   2010-2018全国报考研究生人数及趋势分布</w:t>
      </w:r>
    </w:p>
    <w:p>
      <w:pPr>
        <w:keepNext w:val="0"/>
        <w:keepLines w:val="0"/>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jc w:val="left"/>
        <w:textAlignment w:val="auto"/>
        <w:outlineLvl w:val="9"/>
        <w:rPr>
          <w:rFonts w:ascii="宋体" w:hAnsi="宋体" w:eastAsia="宋体"/>
          <w:color w:val="4C4C4C"/>
          <w:kern w:val="0"/>
          <w:sz w:val="24"/>
          <w:szCs w:val="24"/>
          <w:shd w:val="clear" w:color="auto" w:fill="FFFFFF"/>
        </w:rPr>
      </w:pPr>
      <w:r>
        <w:rPr>
          <w:rFonts w:hint="eastAsia" w:ascii="宋体" w:hAnsi="宋体" w:eastAsia="宋体"/>
          <w:color w:val="4C4C4C"/>
          <w:kern w:val="0"/>
          <w:sz w:val="24"/>
          <w:szCs w:val="24"/>
          <w:shd w:val="clear" w:color="auto" w:fill="FFFFFF"/>
        </w:rPr>
        <w:t xml:space="preserve"> </w:t>
      </w:r>
      <w:r>
        <w:rPr>
          <w:rFonts w:hint="eastAsia" w:ascii="宋体" w:hAnsi="宋体" w:eastAsia="宋体"/>
          <w:color w:val="4C4C4C"/>
          <w:kern w:val="0"/>
          <w:sz w:val="24"/>
          <w:szCs w:val="24"/>
          <w:shd w:val="clear" w:color="auto" w:fill="FFFFFF"/>
          <w:lang w:val="en-US" w:eastAsia="zh-CN"/>
        </w:rPr>
        <w:t xml:space="preserve">  </w:t>
      </w:r>
      <w:r>
        <w:rPr>
          <w:rFonts w:hint="eastAsia" w:ascii="宋体" w:hAnsi="宋体" w:eastAsia="宋体"/>
          <w:color w:val="4C4C4C"/>
          <w:kern w:val="0"/>
          <w:sz w:val="24"/>
          <w:szCs w:val="24"/>
          <w:shd w:val="clear" w:color="auto" w:fill="FFFFFF"/>
        </w:rPr>
        <w:t>根据中国研究生招生信息网公布的数据（如图1-1）显示，除2015年报考人数略有下滑以外，每年报考研究生的人数比例都呈增长趋势，淘汰率却不断提高。如今，毕业大学生人数日益增多，而社会的资源有限，就业竞争压力不断增强，有的同学把考研视为人生跳板，通过考研来提升自己，从而在就业上更有竞争力；有的为了追寻梦想；也有同学抱着“佛系考试、重在参与”的态度。总而言之，随着全民素质的普遍提高，考研竞争日趋激烈。</w:t>
      </w:r>
    </w:p>
    <w:p>
      <w:pPr>
        <w:keepNext w:val="0"/>
        <w:keepLines w:val="0"/>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ind w:firstLine="720" w:firstLineChars="300"/>
        <w:textAlignment w:val="auto"/>
        <w:outlineLvl w:val="9"/>
        <w:rPr>
          <w:rFonts w:ascii="宋体" w:hAnsi="宋体" w:eastAsia="宋体"/>
          <w:color w:val="4C4C4C"/>
          <w:kern w:val="0"/>
          <w:sz w:val="24"/>
          <w:szCs w:val="24"/>
          <w:shd w:val="clear" w:color="auto" w:fill="FFFFFF"/>
        </w:rPr>
      </w:pPr>
      <w:r>
        <w:rPr>
          <w:rFonts w:hint="eastAsia" w:ascii="宋体" w:hAnsi="宋体" w:eastAsia="宋体"/>
          <w:color w:val="4C4C4C"/>
          <w:kern w:val="0"/>
          <w:sz w:val="24"/>
          <w:szCs w:val="24"/>
          <w:shd w:val="clear" w:color="auto" w:fill="FFFFFF"/>
        </w:rPr>
        <w:t>但是，从2007年到2016年，研究生招生计划仅增长6%，远远低于报考人数的增幅。因此，考研的竞争变得愈加激烈，部分“双一流”的高校更是出现了扎堆报考的情况，一方面，越来越多的大学生为了躲避就业高峰期和提高自身竞争优势，选择在学业上继续深造，使得高学历的人不断增加，硕士已开始成群结队，博士更是不稀奇，就业的差距进一步拉大，从而导致了非自愿型结构性失业。另一方面，伴随着全球化、互联网化的就业生态，促使学历成为了优质就业、升职加薪的重要条件，越来越多的在职人员也选择报考非全日制研究生。总而言之，升学的比例不断提高，大大增加了本科毕业生的就业竞争力。</w:t>
      </w:r>
    </w:p>
    <w:p>
      <w:pPr>
        <w:keepNext w:val="0"/>
        <w:keepLines w:val="0"/>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textAlignment w:val="auto"/>
        <w:outlineLvl w:val="9"/>
        <w:rPr>
          <w:rFonts w:hint="eastAsia" w:ascii="黑体" w:hAnsi="黑体" w:eastAsia="黑体" w:cs="黑体"/>
          <w:b w:val="0"/>
          <w:bCs w:val="0"/>
          <w:color w:val="4C4C4C"/>
          <w:kern w:val="0"/>
          <w:sz w:val="24"/>
          <w:szCs w:val="24"/>
          <w:shd w:val="clear" w:color="auto" w:fill="FFFFFF"/>
        </w:rPr>
      </w:pPr>
      <w:r>
        <w:rPr>
          <w:rFonts w:hint="eastAsia" w:ascii="黑体" w:hAnsi="黑体" w:eastAsia="黑体" w:cs="黑体"/>
          <w:b w:val="0"/>
          <w:bCs w:val="0"/>
          <w:color w:val="4C4C4C"/>
          <w:kern w:val="0"/>
          <w:sz w:val="24"/>
          <w:szCs w:val="24"/>
          <w:shd w:val="clear" w:color="auto" w:fill="FFFFFF"/>
        </w:rPr>
        <w:t>1.1.3不同阶层、不同地域之间贫富差距日益悬殊</w:t>
      </w:r>
    </w:p>
    <w:p>
      <w:pPr>
        <w:keepNext w:val="0"/>
        <w:keepLines w:val="0"/>
        <w:pageBreakBefore w:val="0"/>
        <w:widowControl/>
        <w:shd w:val="clear" w:color="auto" w:fill="FFFFFF"/>
        <w:kinsoku/>
        <w:wordWrap/>
        <w:overflowPunct/>
        <w:topLinePunct w:val="0"/>
        <w:autoSpaceDE w:val="0"/>
        <w:autoSpaceDN/>
        <w:bidi w:val="0"/>
        <w:adjustRightInd/>
        <w:snapToGrid/>
        <w:spacing w:before="156" w:beforeLines="50" w:after="156" w:afterLines="50" w:line="440" w:lineRule="exact"/>
        <w:ind w:firstLine="480" w:firstLineChars="200"/>
        <w:textAlignment w:val="auto"/>
        <w:outlineLvl w:val="9"/>
        <w:rPr>
          <w:rFonts w:hint="eastAsia" w:ascii="宋体" w:hAnsi="宋体" w:eastAsia="宋体"/>
          <w:color w:val="4C4C4C"/>
          <w:kern w:val="0"/>
          <w:sz w:val="24"/>
          <w:szCs w:val="24"/>
          <w:shd w:val="clear" w:color="auto" w:fill="FFFFFF"/>
          <w:lang w:val="en-US" w:eastAsia="zh-CN"/>
        </w:rPr>
      </w:pPr>
      <w:r>
        <w:rPr>
          <w:rFonts w:hint="eastAsia" w:ascii="宋体" w:hAnsi="宋体" w:eastAsia="宋体"/>
          <w:color w:val="4C4C4C"/>
          <w:kern w:val="0"/>
          <w:sz w:val="24"/>
          <w:szCs w:val="24"/>
          <w:shd w:val="clear" w:color="auto" w:fill="FFFFFF"/>
        </w:rPr>
        <w:t>由于我国经济发展的地区间与城乡间差异，经济欠发达地区特别是西部地区很难对大学生形成有效需求，而且在较长的时期内，地区性的有效需求不足的局面都将难以改变。而这种区域结构的不平衡在未来预计还会加剧，“宁要都市一张床，不要西部一套房”大学毕业生优先考虑大城市竞争优质的就业机会，因而扎堆于大城市中，年轻人好强气盛，北上广等城市的集聚经济带来了信息交换和知识溢出，从而能提升人的生产率，进而带来工资的增长</w:t>
      </w:r>
      <w:r>
        <w:rPr>
          <w:rFonts w:hint="eastAsia" w:ascii="宋体" w:hAnsi="宋体" w:eastAsia="宋体"/>
          <w:color w:val="4C4C4C"/>
          <w:kern w:val="0"/>
          <w:sz w:val="24"/>
          <w:szCs w:val="24"/>
          <w:shd w:val="clear" w:color="auto" w:fill="FFFFFF"/>
          <w:lang w:eastAsia="zh-CN"/>
        </w:rPr>
        <w:t>，</w:t>
      </w:r>
      <w:r>
        <w:rPr>
          <w:rFonts w:hint="eastAsia" w:ascii="宋体" w:hAnsi="宋体" w:eastAsia="宋体"/>
          <w:color w:val="4C4C4C"/>
          <w:kern w:val="0"/>
          <w:sz w:val="24"/>
          <w:szCs w:val="24"/>
          <w:shd w:val="clear" w:color="auto" w:fill="FFFFFF"/>
        </w:rPr>
        <w:t>导致竞争压力远远大于在相对落后地区的就业竞争</w:t>
      </w:r>
      <w:r>
        <w:rPr>
          <w:rFonts w:hint="eastAsia" w:ascii="宋体" w:hAnsi="宋体" w:eastAsia="宋体"/>
          <w:color w:val="4C4C4C"/>
          <w:kern w:val="0"/>
          <w:sz w:val="24"/>
          <w:szCs w:val="24"/>
          <w:shd w:val="clear" w:color="auto" w:fill="FFFFFF"/>
          <w:lang w:eastAsia="zh-CN"/>
        </w:rPr>
        <w:t>。</w:t>
      </w:r>
      <w:r>
        <w:rPr>
          <w:rFonts w:hint="eastAsia" w:ascii="宋体" w:hAnsi="宋体" w:eastAsia="宋体"/>
          <w:color w:val="4C4C4C"/>
          <w:kern w:val="0"/>
          <w:sz w:val="24"/>
          <w:szCs w:val="24"/>
          <w:shd w:val="clear" w:color="auto" w:fill="FFFFFF"/>
          <w:vertAlign w:val="superscript"/>
          <w:lang w:val="en-US" w:eastAsia="zh-CN"/>
        </w:rPr>
        <w:t>[1]</w:t>
      </w:r>
    </w:p>
    <w:p>
      <w:pPr>
        <w:keepNext w:val="0"/>
        <w:keepLines w:val="0"/>
        <w:pageBreakBefore w:val="0"/>
        <w:kinsoku/>
        <w:wordWrap/>
        <w:overflowPunct/>
        <w:topLinePunct w:val="0"/>
        <w:autoSpaceDE w:val="0"/>
        <w:autoSpaceDN/>
        <w:bidi w:val="0"/>
        <w:adjustRightInd/>
        <w:snapToGrid/>
        <w:spacing w:before="156" w:beforeLines="50" w:after="156" w:afterLines="50" w:line="440" w:lineRule="exact"/>
        <w:textAlignment w:val="auto"/>
        <w:outlineLvl w:val="9"/>
        <w:rPr>
          <w:rFonts w:hint="eastAsia" w:ascii="黑体" w:hAnsi="黑体" w:eastAsia="黑体" w:cs="黑体"/>
          <w:b w:val="0"/>
          <w:bCs w:val="0"/>
          <w:color w:val="4C4C4C"/>
          <w:kern w:val="0"/>
          <w:sz w:val="24"/>
          <w:szCs w:val="24"/>
        </w:rPr>
      </w:pPr>
      <w:r>
        <w:rPr>
          <w:rFonts w:hint="eastAsia" w:ascii="黑体" w:hAnsi="黑体" w:eastAsia="黑体" w:cs="黑体"/>
          <w:b w:val="0"/>
          <w:bCs w:val="0"/>
          <w:color w:val="4C4C4C"/>
          <w:kern w:val="0"/>
          <w:sz w:val="24"/>
          <w:szCs w:val="24"/>
        </w:rPr>
        <w:t>1.2学院就业现状分析</w:t>
      </w:r>
    </w:p>
    <w:p>
      <w:pPr>
        <w:keepNext w:val="0"/>
        <w:keepLines w:val="0"/>
        <w:pageBreakBefore w:val="0"/>
        <w:kinsoku/>
        <w:wordWrap/>
        <w:overflowPunct/>
        <w:topLinePunct w:val="0"/>
        <w:autoSpaceDE w:val="0"/>
        <w:autoSpaceDN/>
        <w:bidi w:val="0"/>
        <w:adjustRightInd/>
        <w:snapToGrid/>
        <w:spacing w:before="156" w:beforeLines="50" w:after="156" w:afterLines="50" w:line="440" w:lineRule="exact"/>
        <w:textAlignment w:val="auto"/>
        <w:outlineLvl w:val="9"/>
        <w:rPr>
          <w:rFonts w:hint="eastAsia" w:ascii="黑体" w:hAnsi="黑体" w:eastAsia="黑体" w:cs="黑体"/>
          <w:b w:val="0"/>
          <w:bCs w:val="0"/>
          <w:color w:val="4C4C4C"/>
          <w:kern w:val="0"/>
          <w:sz w:val="24"/>
          <w:szCs w:val="24"/>
        </w:rPr>
      </w:pPr>
      <w:r>
        <w:rPr>
          <w:rFonts w:hint="eastAsia" w:ascii="黑体" w:hAnsi="黑体" w:eastAsia="黑体" w:cs="黑体"/>
          <w:b w:val="0"/>
          <w:bCs w:val="0"/>
          <w:color w:val="4C4C4C"/>
          <w:kern w:val="0"/>
          <w:sz w:val="24"/>
          <w:szCs w:val="24"/>
        </w:rPr>
        <w:t>1.2.1我院各个专业培养模式讨论</w:t>
      </w:r>
    </w:p>
    <w:p>
      <w:pPr>
        <w:keepNext w:val="0"/>
        <w:keepLines w:val="0"/>
        <w:pageBreakBefore w:val="0"/>
        <w:kinsoku/>
        <w:wordWrap/>
        <w:overflowPunct/>
        <w:topLinePunct w:val="0"/>
        <w:autoSpaceDE w:val="0"/>
        <w:autoSpaceDN/>
        <w:bidi w:val="0"/>
        <w:adjustRightInd/>
        <w:snapToGrid/>
        <w:spacing w:before="156" w:beforeLines="50" w:after="156" w:afterLines="50" w:line="440" w:lineRule="exact"/>
        <w:ind w:firstLine="480" w:firstLineChars="200"/>
        <w:jc w:val="left"/>
        <w:textAlignment w:val="auto"/>
        <w:outlineLvl w:val="9"/>
        <w:rPr>
          <w:rFonts w:ascii="宋体" w:hAnsi="宋体" w:eastAsia="宋体"/>
          <w:color w:val="4C4C4C"/>
          <w:kern w:val="0"/>
          <w:sz w:val="24"/>
          <w:szCs w:val="24"/>
        </w:rPr>
      </w:pPr>
      <w:r>
        <w:rPr>
          <w:rFonts w:hint="eastAsia" w:ascii="宋体" w:hAnsi="宋体" w:eastAsia="宋体"/>
          <w:color w:val="4C4C4C"/>
          <w:kern w:val="0"/>
          <w:sz w:val="24"/>
          <w:szCs w:val="24"/>
        </w:rPr>
        <w:t>西北师范大学作为师范院校，始终坚持着教师教育特色发展，不断增强综合实力竞争力。培养优质的师范生是我们的特色、优势也是立校之本，我院的数学与应用数学师范班旨在培养具有良好数学素养，掌握数学与应用数学及数学教育的基本理论和方法，能在教育、科技等部门从事数学教学和数学研究及管理工作的专门人才。当然，我们既要坚守好师范特色，同时也要适度的进行发展转型，不断地提升综合实力才能在社会上具有较强的竞争力。因此，我院进行了 “云亭班”试点培养计划，目的旨在于：培养专业基础扎实，具有一定创新能力，适合进行学术研究，综合素质全面发展的本科生，为我校提供硕士、博士优秀生源。也有较大比例毕业生进入“985”“211”高校等继续深造。而“信息与计算科学专业”则重在培养具有良好的数学素养、掌握信息科学和计算科学基本理论和方法，能在科技、教育和经济部门从事研究、教学和应用开发及管理工作的专门人才。</w:t>
      </w:r>
    </w:p>
    <w:p>
      <w:pPr>
        <w:keepNext w:val="0"/>
        <w:keepLines w:val="0"/>
        <w:pageBreakBefore w:val="0"/>
        <w:kinsoku/>
        <w:wordWrap/>
        <w:overflowPunct/>
        <w:topLinePunct w:val="0"/>
        <w:autoSpaceDE w:val="0"/>
        <w:autoSpaceDN/>
        <w:bidi w:val="0"/>
        <w:adjustRightInd/>
        <w:snapToGrid/>
        <w:spacing w:before="156" w:beforeLines="50" w:after="156" w:afterLines="50" w:line="440" w:lineRule="exact"/>
        <w:textAlignment w:val="auto"/>
        <w:outlineLvl w:val="9"/>
        <w:rPr>
          <w:rFonts w:hint="eastAsia" w:ascii="黑体" w:hAnsi="黑体" w:eastAsia="黑体" w:cs="黑体"/>
          <w:b w:val="0"/>
          <w:bCs w:val="0"/>
          <w:color w:val="4C4C4C"/>
          <w:kern w:val="0"/>
          <w:sz w:val="24"/>
          <w:szCs w:val="24"/>
        </w:rPr>
      </w:pPr>
      <w:r>
        <w:rPr>
          <w:rFonts w:hint="eastAsia" w:ascii="黑体" w:hAnsi="黑体" w:eastAsia="黑体" w:cs="黑体"/>
          <w:b w:val="0"/>
          <w:bCs w:val="0"/>
          <w:color w:val="4C4C4C"/>
          <w:kern w:val="0"/>
          <w:sz w:val="24"/>
          <w:szCs w:val="24"/>
        </w:rPr>
        <w:t>1.2.2我院应届毕业生就业形势分析</w:t>
      </w:r>
    </w:p>
    <w:p>
      <w:pPr>
        <w:keepNext w:val="0"/>
        <w:keepLines w:val="0"/>
        <w:pageBreakBefore w:val="0"/>
        <w:kinsoku/>
        <w:wordWrap/>
        <w:overflowPunct/>
        <w:topLinePunct w:val="0"/>
        <w:autoSpaceDE w:val="0"/>
        <w:autoSpaceDN/>
        <w:bidi w:val="0"/>
        <w:adjustRightInd/>
        <w:snapToGrid/>
        <w:spacing w:before="156" w:beforeLines="50" w:after="156" w:afterLines="50" w:line="440" w:lineRule="exact"/>
        <w:jc w:val="left"/>
        <w:textAlignment w:val="auto"/>
        <w:outlineLvl w:val="9"/>
        <w:rPr>
          <w:rFonts w:ascii="宋体" w:hAnsi="宋体" w:eastAsia="宋体"/>
          <w:color w:val="4C4C4C"/>
          <w:kern w:val="0"/>
          <w:sz w:val="24"/>
          <w:szCs w:val="24"/>
        </w:rPr>
      </w:pPr>
      <w:r>
        <w:rPr>
          <w:rFonts w:hint="eastAsia" w:ascii="宋体" w:hAnsi="宋体" w:eastAsia="宋体"/>
          <w:color w:val="4C4C4C"/>
          <w:kern w:val="0"/>
          <w:sz w:val="24"/>
          <w:szCs w:val="24"/>
        </w:rPr>
        <w:t xml:space="preserve">  为深入了解我院毕业生的就业现状，我们对2016、2017届本科毕业生的就业情况进行了分析与归纳，从图1-2可以看出，我院2016届、2017届本科毕业生的就业率达84.11%、96.96%，其中签订就业形势就业比例最高，升学比例居于第二，这也符合现如今我国研究生的招生规模不断扩张，研究生教育供给不断扩大的趋势。</w:t>
      </w:r>
    </w:p>
    <w:p>
      <w:pPr>
        <w:autoSpaceDE w:val="0"/>
        <w:spacing w:before="156" w:beforeLines="50" w:after="156" w:afterLines="50" w:line="360" w:lineRule="auto"/>
        <w:jc w:val="center"/>
        <w:rPr>
          <w:rFonts w:ascii="宋体" w:hAnsi="宋体" w:eastAsia="宋体"/>
          <w:sz w:val="24"/>
          <w:szCs w:val="24"/>
        </w:rPr>
      </w:pPr>
      <w:r>
        <w:drawing>
          <wp:inline distT="0" distB="0" distL="0" distR="0">
            <wp:extent cx="4067175" cy="2533650"/>
            <wp:effectExtent l="0" t="0" r="9525" b="0"/>
            <wp:docPr id="5" name="图片 5" descr="C:\Users\Drift\AppData\Local\Temp\ksohtml\wpsE5F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Drift\AppData\Local\Temp\ksohtml\wpsE5FB.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67175" cy="2533650"/>
                    </a:xfrm>
                    <a:prstGeom prst="rect">
                      <a:avLst/>
                    </a:prstGeom>
                    <a:noFill/>
                    <a:ln>
                      <a:noFill/>
                    </a:ln>
                  </pic:spPr>
                </pic:pic>
              </a:graphicData>
            </a:graphic>
          </wp:inline>
        </w:drawing>
      </w:r>
      <w:r>
        <w:rPr>
          <w:rFonts w:hint="eastAsia" w:ascii="宋体" w:hAnsi="宋体" w:eastAsia="宋体"/>
          <w:sz w:val="24"/>
          <w:szCs w:val="24"/>
        </w:rPr>
        <w:t xml:space="preserve"> </w:t>
      </w:r>
    </w:p>
    <w:p>
      <w:pPr>
        <w:autoSpaceDE w:val="0"/>
        <w:spacing w:before="156" w:beforeLines="50" w:after="156" w:afterLines="50" w:line="360" w:lineRule="auto"/>
        <w:jc w:val="center"/>
        <w:rPr>
          <w:rFonts w:ascii="宋体" w:hAnsi="宋体" w:eastAsia="宋体"/>
          <w:sz w:val="24"/>
          <w:szCs w:val="24"/>
        </w:rPr>
      </w:pPr>
      <w:r>
        <w:rPr>
          <w:rFonts w:hint="eastAsia" w:ascii="宋体" w:hAnsi="宋体" w:eastAsia="宋体"/>
          <w:sz w:val="24"/>
          <w:szCs w:val="24"/>
        </w:rPr>
        <w:t xml:space="preserve">图1-2  </w:t>
      </w:r>
      <w:r>
        <w:rPr>
          <w:rFonts w:hint="eastAsia" w:ascii="宋体" w:hAnsi="宋体" w:eastAsia="宋体"/>
          <w:color w:val="4C4C4C"/>
          <w:kern w:val="0"/>
          <w:sz w:val="24"/>
          <w:szCs w:val="24"/>
        </w:rPr>
        <w:t>2016</w:t>
      </w:r>
      <w:r>
        <w:rPr>
          <w:rFonts w:hint="eastAsia" w:ascii="宋体" w:hAnsi="宋体" w:eastAsia="宋体"/>
          <w:sz w:val="24"/>
          <w:szCs w:val="24"/>
        </w:rPr>
        <w:t>、2017届本科毕业生去向分布</w:t>
      </w:r>
    </w:p>
    <w:p>
      <w:pPr>
        <w:autoSpaceDE w:val="0"/>
        <w:spacing w:before="156" w:beforeLines="50" w:after="156" w:afterLines="50" w:line="360" w:lineRule="auto"/>
        <w:jc w:val="left"/>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color w:val="4C4C4C"/>
          <w:kern w:val="0"/>
          <w:sz w:val="24"/>
          <w:szCs w:val="24"/>
        </w:rPr>
        <w:t xml:space="preserve">  在就业单位性质分布调查中（见图1-3），可以看出，我院2016、2017届本科毕业生仍以较大比例进入到中初教育单位工作，分别占就业人数的62.99%、77.22%，这也符合我们师范院校的基本职能，即以培养优质的教师教育人才为基本任务。</w:t>
      </w:r>
    </w:p>
    <w:p>
      <w:pPr>
        <w:autoSpaceDE w:val="0"/>
        <w:spacing w:before="156" w:beforeLines="50" w:after="156" w:afterLines="50" w:line="360" w:lineRule="auto"/>
        <w:jc w:val="center"/>
        <w:rPr>
          <w:rFonts w:ascii="宋体" w:hAnsi="宋体" w:eastAsia="宋体"/>
          <w:sz w:val="24"/>
          <w:szCs w:val="24"/>
        </w:rPr>
      </w:pPr>
      <w:r>
        <w:drawing>
          <wp:inline distT="0" distB="0" distL="0" distR="0">
            <wp:extent cx="4638675" cy="2628900"/>
            <wp:effectExtent l="0" t="0" r="9525" b="0"/>
            <wp:docPr id="4" name="图片 4" descr="C:\Users\Drift\AppData\Local\Temp\ksohtml\wpsE5F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rift\AppData\Local\Temp\ksohtml\wpsE5FC.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38675" cy="2628900"/>
                    </a:xfrm>
                    <a:prstGeom prst="rect">
                      <a:avLst/>
                    </a:prstGeom>
                    <a:noFill/>
                    <a:ln>
                      <a:noFill/>
                    </a:ln>
                  </pic:spPr>
                </pic:pic>
              </a:graphicData>
            </a:graphic>
          </wp:inline>
        </w:drawing>
      </w:r>
      <w:r>
        <w:rPr>
          <w:rFonts w:hint="eastAsia" w:ascii="宋体" w:hAnsi="宋体" w:eastAsia="宋体"/>
          <w:sz w:val="24"/>
          <w:szCs w:val="24"/>
        </w:rPr>
        <w:t xml:space="preserve"> </w:t>
      </w:r>
    </w:p>
    <w:p>
      <w:pPr>
        <w:autoSpaceDE w:val="0"/>
        <w:spacing w:before="156" w:beforeLines="50" w:after="156" w:afterLines="50" w:line="360" w:lineRule="auto"/>
        <w:jc w:val="center"/>
        <w:rPr>
          <w:rFonts w:ascii="宋体" w:hAnsi="宋体" w:eastAsia="宋体"/>
          <w:sz w:val="24"/>
          <w:szCs w:val="24"/>
        </w:rPr>
      </w:pPr>
      <w:r>
        <w:rPr>
          <w:rFonts w:hint="eastAsia" w:ascii="宋体" w:hAnsi="宋体" w:eastAsia="宋体"/>
          <w:sz w:val="24"/>
          <w:szCs w:val="24"/>
        </w:rPr>
        <w:t xml:space="preserve"> 图1-3  2016、2017届本科毕业生就业单位性质分布</w:t>
      </w:r>
    </w:p>
    <w:p>
      <w:pPr>
        <w:autoSpaceDE w:val="0"/>
        <w:spacing w:before="156" w:beforeLines="50" w:after="156" w:afterLines="50" w:line="360" w:lineRule="auto"/>
        <w:jc w:val="left"/>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color w:val="4C4C4C"/>
          <w:kern w:val="0"/>
          <w:sz w:val="24"/>
          <w:szCs w:val="24"/>
        </w:rPr>
        <w:t xml:space="preserve"> 在已就业于中初教育单位的同学中，我们分析得出（如图1-4）我院的师范毕业生以初中老师居多，高中老师次之，最后是小学老师。这种趋势也可以为我院注重培养初高中教师方面提出一定的意见。</w:t>
      </w:r>
    </w:p>
    <w:p>
      <w:pPr>
        <w:autoSpaceDE w:val="0"/>
        <w:spacing w:before="156" w:beforeLines="50" w:after="156" w:afterLines="50" w:line="360" w:lineRule="auto"/>
        <w:jc w:val="center"/>
        <w:rPr>
          <w:rFonts w:ascii="宋体" w:hAnsi="宋体" w:eastAsia="宋体"/>
          <w:sz w:val="24"/>
          <w:szCs w:val="24"/>
        </w:rPr>
      </w:pPr>
      <w:r>
        <w:drawing>
          <wp:inline distT="0" distB="0" distL="0" distR="0">
            <wp:extent cx="4429125" cy="2105025"/>
            <wp:effectExtent l="0" t="0" r="9525" b="9525"/>
            <wp:docPr id="3" name="图片 3" descr="C:\Users\Drift\AppData\Local\Temp\ksohtml\wpsE72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rift\AppData\Local\Temp\ksohtml\wpsE725.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29125" cy="2105025"/>
                    </a:xfrm>
                    <a:prstGeom prst="rect">
                      <a:avLst/>
                    </a:prstGeom>
                    <a:noFill/>
                    <a:ln>
                      <a:noFill/>
                    </a:ln>
                  </pic:spPr>
                </pic:pic>
              </a:graphicData>
            </a:graphic>
          </wp:inline>
        </w:drawing>
      </w:r>
      <w:r>
        <w:rPr>
          <w:rFonts w:hint="eastAsia" w:ascii="宋体" w:hAnsi="宋体" w:eastAsia="宋体"/>
          <w:sz w:val="24"/>
          <w:szCs w:val="24"/>
        </w:rPr>
        <w:t xml:space="preserve"> </w:t>
      </w:r>
    </w:p>
    <w:p>
      <w:pPr>
        <w:autoSpaceDE w:val="0"/>
        <w:spacing w:before="156" w:beforeLines="50" w:after="156" w:afterLines="50" w:line="360" w:lineRule="auto"/>
        <w:jc w:val="center"/>
        <w:rPr>
          <w:rFonts w:ascii="宋体" w:hAnsi="宋体" w:eastAsia="宋体"/>
          <w:sz w:val="24"/>
          <w:szCs w:val="24"/>
        </w:rPr>
      </w:pPr>
      <w:r>
        <w:rPr>
          <w:rFonts w:hint="eastAsia" w:ascii="宋体" w:hAnsi="宋体" w:eastAsia="宋体"/>
          <w:sz w:val="24"/>
          <w:szCs w:val="24"/>
        </w:rPr>
        <w:t>图1-4  毕业生中初教育单位分布</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color w:val="4C4C4C"/>
          <w:kern w:val="0"/>
          <w:sz w:val="24"/>
          <w:szCs w:val="24"/>
        </w:rPr>
        <w:t xml:space="preserve">  由图1-5中可知，我院毕业生较大比例都在西北地区工作，其次是西南地区，然后是华北地区，这一区域分布与我校的办学定位和生源特色相符合。当然，近年来，随着西北大开发战略的实施，“大学生志愿服务西部计划”、“三支一扶”等国家积极政策的号召下，中西部经济发展速度明显提高，在西部发展的就业前景良好，使得我院一些沿海地区的同学能认清并适应这种形势，主动地在西部地区工作。</w:t>
      </w:r>
    </w:p>
    <w:p>
      <w:pPr>
        <w:autoSpaceDE w:val="0"/>
        <w:spacing w:before="156" w:beforeLines="50" w:after="156" w:afterLines="50" w:line="360" w:lineRule="auto"/>
        <w:ind w:firstLine="420" w:firstLineChars="200"/>
        <w:rPr>
          <w:rFonts w:hint="eastAsia" w:ascii="宋体" w:hAnsi="宋体" w:eastAsia="宋体"/>
          <w:sz w:val="24"/>
          <w:szCs w:val="24"/>
        </w:rPr>
      </w:pPr>
      <w:r>
        <w:drawing>
          <wp:inline distT="0" distB="0" distL="0" distR="0">
            <wp:extent cx="4714875" cy="2638425"/>
            <wp:effectExtent l="0" t="0" r="9525" b="9525"/>
            <wp:docPr id="2" name="图片 2" descr="C:\Users\Drift\AppData\Local\Temp\ksohtml\wpsE72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rift\AppData\Local\Temp\ksohtml\wpsE726.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14875" cy="2638425"/>
                    </a:xfrm>
                    <a:prstGeom prst="rect">
                      <a:avLst/>
                    </a:prstGeom>
                    <a:noFill/>
                    <a:ln>
                      <a:noFill/>
                    </a:ln>
                  </pic:spPr>
                </pic:pic>
              </a:graphicData>
            </a:graphic>
          </wp:inline>
        </w:drawing>
      </w:r>
      <w:r>
        <w:rPr>
          <w:rFonts w:hint="eastAsia" w:ascii="宋体" w:hAnsi="宋体" w:eastAsia="宋体"/>
          <w:sz w:val="24"/>
          <w:szCs w:val="24"/>
        </w:rPr>
        <w:t xml:space="preserve"> </w:t>
      </w:r>
    </w:p>
    <w:p>
      <w:pPr>
        <w:autoSpaceDE w:val="0"/>
        <w:spacing w:before="156" w:beforeLines="50" w:after="156" w:afterLines="50" w:line="360" w:lineRule="auto"/>
        <w:jc w:val="center"/>
        <w:rPr>
          <w:rFonts w:ascii="宋体" w:hAnsi="宋体" w:eastAsia="宋体"/>
          <w:sz w:val="24"/>
          <w:szCs w:val="24"/>
        </w:rPr>
      </w:pPr>
      <w:r>
        <w:rPr>
          <w:rFonts w:hint="eastAsia" w:ascii="宋体" w:hAnsi="宋体" w:eastAsia="宋体"/>
          <w:sz w:val="24"/>
          <w:szCs w:val="24"/>
        </w:rPr>
        <w:t>图1-5   本科毕业生就业单位区域分布</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从总体上来看，教育单位仍是我院本科毕业生的主要就业渠道，西北地区是我院毕业生的主要就业单位区域，作为师范院校，我院始终坚持立德树人，围绕学生成长这个中心，依靠教师发展这个根本，突出教学重心，夯实德智体美基础学科的根基，强化应用学科的社会需求导向和实践性。为西北地区乃至全国培养出一批批符合时代要求的高素质教师人才。</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1.2.3  我院应届毕业生升学情况分析</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我院2016、2017届毕业生共升学的人数为75、71人，分别占本科毕业生的29.07%、58.82%。其中，985、211高校占56%、49.3%，其他院校分别占44%、 50.7%。被录取人数最多的为西北师范大学、兰州大学、西南大学以及山东大学（如图1-6）。研究生教育作为高等教育大众化中的精英教育，在其规模、质量、效益等方面协调发展愈加受到了社会各界的关注。因此，我院不仅要积极关注毕业生就业的情况，也应该重视考研学生的学习、生活情况。</w:t>
      </w:r>
    </w:p>
    <w:p>
      <w:pPr>
        <w:autoSpaceDE w:val="0"/>
        <w:spacing w:before="156" w:beforeLines="50" w:after="156" w:afterLines="50" w:line="360" w:lineRule="auto"/>
        <w:ind w:firstLine="420" w:firstLineChars="200"/>
        <w:rPr>
          <w:rFonts w:ascii="宋体" w:hAnsi="宋体" w:eastAsia="宋体"/>
          <w:sz w:val="24"/>
          <w:szCs w:val="24"/>
        </w:rPr>
      </w:pPr>
      <w:r>
        <w:drawing>
          <wp:inline distT="0" distB="0" distL="0" distR="0">
            <wp:extent cx="4591050" cy="2638425"/>
            <wp:effectExtent l="0" t="0" r="0" b="9525"/>
            <wp:docPr id="1" name="图片 1" descr="C:\Users\Drift\AppData\Local\Temp\ksohtml\wpsE73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rift\AppData\Local\Temp\ksohtml\wpsE737.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91050" cy="2638425"/>
                    </a:xfrm>
                    <a:prstGeom prst="rect">
                      <a:avLst/>
                    </a:prstGeom>
                    <a:noFill/>
                    <a:ln>
                      <a:noFill/>
                    </a:ln>
                  </pic:spPr>
                </pic:pic>
              </a:graphicData>
            </a:graphic>
          </wp:inline>
        </w:drawing>
      </w:r>
      <w:r>
        <w:rPr>
          <w:rFonts w:hint="eastAsia" w:ascii="宋体" w:hAnsi="宋体" w:eastAsia="宋体"/>
          <w:sz w:val="24"/>
          <w:szCs w:val="24"/>
        </w:rPr>
        <w:t xml:space="preserve"> </w:t>
      </w:r>
    </w:p>
    <w:p>
      <w:pPr>
        <w:autoSpaceDE w:val="0"/>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 xml:space="preserve">             图1-6   2016、2017届本科毕业生升学情况   </w:t>
      </w:r>
    </w:p>
    <w:p>
      <w:pPr>
        <w:autoSpaceDE w:val="0"/>
        <w:spacing w:before="156" w:beforeLines="50" w:after="156" w:afterLines="50" w:line="360" w:lineRule="auto"/>
        <w:rPr>
          <w:rFonts w:ascii="黑体" w:hAnsi="黑体" w:eastAsia="黑体"/>
          <w:b w:val="0"/>
          <w:bCs w:val="0"/>
          <w:kern w:val="0"/>
          <w:sz w:val="24"/>
          <w:szCs w:val="24"/>
        </w:rPr>
      </w:pPr>
      <w:r>
        <w:rPr>
          <w:rFonts w:hint="eastAsia" w:ascii="黑体" w:hAnsi="黑体" w:eastAsia="黑体"/>
          <w:b w:val="0"/>
          <w:bCs w:val="0"/>
          <w:color w:val="4C4C4C"/>
          <w:kern w:val="0"/>
          <w:sz w:val="24"/>
          <w:szCs w:val="24"/>
        </w:rPr>
        <w:t>1.3个人就业观的探究</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我们以西北师范大学数学与统计学院学生为研究对象，并且利用分层抽样对该院各年级总人数的1/3进行问卷调查。发放问卷240份，实际收回232份，其中有效问卷215份，有效率高达92.7%。为了更加清楚了解大学生的就业观以及就业心理，我们运用SPSS19.0统计软件来分析数据。</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在关于就业形势的判断上，有64.2%的同学已经认识到就业的严峻，甚至有86%的同学第一选择会选择考研，其中有33%的同学会选择一直考研，直到考上为止。充分说明了现在大学生已经意识到在</w:t>
      </w:r>
      <w:r>
        <w:rPr>
          <w:rFonts w:hint="eastAsia" w:ascii="宋体" w:hAnsi="宋体" w:eastAsia="宋体"/>
          <w:color w:val="4C4C4C"/>
          <w:kern w:val="0"/>
          <w:sz w:val="24"/>
          <w:szCs w:val="24"/>
          <w:lang w:eastAsia="zh-CN"/>
        </w:rPr>
        <w:t>当前</w:t>
      </w:r>
      <w:r>
        <w:rPr>
          <w:rFonts w:hint="eastAsia" w:ascii="宋体" w:hAnsi="宋体" w:eastAsia="宋体"/>
          <w:color w:val="4C4C4C"/>
          <w:kern w:val="0"/>
          <w:sz w:val="24"/>
          <w:szCs w:val="24"/>
        </w:rPr>
        <w:t>就业趋势不容乐观这一社会现状。</w:t>
      </w:r>
    </w:p>
    <w:p>
      <w:pPr>
        <w:autoSpaceDE w:val="0"/>
        <w:spacing w:before="156" w:beforeLines="50" w:after="156" w:afterLines="50" w:line="360" w:lineRule="auto"/>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1.3.1 就业观</w:t>
      </w:r>
    </w:p>
    <w:tbl>
      <w:tblPr>
        <w:tblStyle w:val="5"/>
        <w:tblW w:w="6524" w:type="dxa"/>
        <w:tblInd w:w="108" w:type="dxa"/>
        <w:tblLayout w:type="fixed"/>
        <w:tblCellMar>
          <w:top w:w="0" w:type="dxa"/>
          <w:left w:w="0" w:type="dxa"/>
          <w:bottom w:w="0" w:type="dxa"/>
          <w:right w:w="0" w:type="dxa"/>
        </w:tblCellMar>
      </w:tblPr>
      <w:tblGrid>
        <w:gridCol w:w="727"/>
        <w:gridCol w:w="1378"/>
        <w:gridCol w:w="1010"/>
        <w:gridCol w:w="1009"/>
        <w:gridCol w:w="1200"/>
        <w:gridCol w:w="1200"/>
      </w:tblGrid>
      <w:tr>
        <w:tblPrEx>
          <w:tblLayout w:type="fixed"/>
          <w:tblCellMar>
            <w:top w:w="0" w:type="dxa"/>
            <w:left w:w="0" w:type="dxa"/>
            <w:bottom w:w="0" w:type="dxa"/>
            <w:right w:w="0" w:type="dxa"/>
          </w:tblCellMar>
        </w:tblPrEx>
        <w:trPr>
          <w:cantSplit/>
        </w:trPr>
        <w:tc>
          <w:tcPr>
            <w:tcW w:w="6524" w:type="dxa"/>
            <w:gridSpan w:val="6"/>
            <w:tcBorders>
              <w:top w:val="nil"/>
              <w:left w:val="nil"/>
              <w:bottom w:val="nil"/>
              <w:right w:val="nil"/>
            </w:tcBorders>
            <w:shd w:val="clear" w:color="auto" w:fill="FFFFFF"/>
            <w:vAlign w:val="center"/>
          </w:tcPr>
          <w:p>
            <w:pPr>
              <w:spacing w:line="320" w:lineRule="atLeast"/>
              <w:ind w:left="60" w:right="60"/>
              <w:jc w:val="center"/>
              <w:rPr>
                <w:rFonts w:ascii="宋体" w:hAnsi="宋体" w:eastAsia="宋体"/>
                <w:sz w:val="24"/>
                <w:szCs w:val="24"/>
              </w:rPr>
            </w:pPr>
            <w:r>
              <w:rPr>
                <w:rFonts w:hint="eastAsia" w:ascii="宋体" w:hAnsi="宋体" w:eastAsia="宋体"/>
                <w:b w:val="0"/>
                <w:bCs w:val="0"/>
                <w:sz w:val="24"/>
                <w:szCs w:val="24"/>
              </w:rPr>
              <w:t>表1-1  职业首选标准</w:t>
            </w:r>
          </w:p>
        </w:tc>
      </w:tr>
      <w:tr>
        <w:tblPrEx>
          <w:tblLayout w:type="fixed"/>
          <w:tblCellMar>
            <w:top w:w="0" w:type="dxa"/>
            <w:left w:w="0" w:type="dxa"/>
            <w:bottom w:w="0" w:type="dxa"/>
            <w:right w:w="0" w:type="dxa"/>
          </w:tblCellMar>
        </w:tblPrEx>
        <w:trPr>
          <w:cantSplit/>
        </w:trPr>
        <w:tc>
          <w:tcPr>
            <w:tcW w:w="2105" w:type="dxa"/>
            <w:gridSpan w:val="2"/>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c>
          <w:tcPr>
            <w:tcW w:w="101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频率</w:t>
            </w:r>
          </w:p>
        </w:tc>
        <w:tc>
          <w:tcPr>
            <w:tcW w:w="1009"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百分比</w:t>
            </w:r>
          </w:p>
        </w:tc>
        <w:tc>
          <w:tcPr>
            <w:tcW w:w="120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有效百分比</w:t>
            </w:r>
          </w:p>
        </w:tc>
        <w:tc>
          <w:tcPr>
            <w:tcW w:w="1200" w:type="dxa"/>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累积百分比</w:t>
            </w:r>
          </w:p>
        </w:tc>
      </w:tr>
      <w:tr>
        <w:tblPrEx>
          <w:tblLayout w:type="fixed"/>
          <w:tblCellMar>
            <w:top w:w="0" w:type="dxa"/>
            <w:left w:w="0" w:type="dxa"/>
            <w:bottom w:w="0" w:type="dxa"/>
            <w:right w:w="0" w:type="dxa"/>
          </w:tblCellMar>
        </w:tblPrEx>
        <w:trPr>
          <w:cantSplit/>
        </w:trPr>
        <w:tc>
          <w:tcPr>
            <w:tcW w:w="727" w:type="dxa"/>
            <w:vMerge w:val="restart"/>
            <w:tcBorders>
              <w:top w:val="nil"/>
              <w:left w:val="single" w:color="000000" w:sz="18" w:space="0"/>
              <w:bottom w:val="single" w:color="000000" w:sz="18" w:space="0"/>
              <w:right w:val="nil"/>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有效</w:t>
            </w:r>
          </w:p>
        </w:tc>
        <w:tc>
          <w:tcPr>
            <w:tcW w:w="1378" w:type="dxa"/>
            <w:tcBorders>
              <w:top w:val="single" w:color="000000" w:sz="18" w:space="0"/>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工作薪资高</w:t>
            </w:r>
          </w:p>
        </w:tc>
        <w:tc>
          <w:tcPr>
            <w:tcW w:w="101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63</w:t>
            </w:r>
          </w:p>
        </w:tc>
        <w:tc>
          <w:tcPr>
            <w:tcW w:w="1009"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29.3</w:t>
            </w:r>
          </w:p>
        </w:tc>
        <w:tc>
          <w:tcPr>
            <w:tcW w:w="120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29.3</w:t>
            </w:r>
          </w:p>
        </w:tc>
        <w:tc>
          <w:tcPr>
            <w:tcW w:w="1200"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29.3</w:t>
            </w:r>
          </w:p>
        </w:tc>
      </w:tr>
      <w:tr>
        <w:tblPrEx>
          <w:tblLayout w:type="fixed"/>
          <w:tblCellMar>
            <w:top w:w="0" w:type="dxa"/>
            <w:left w:w="0" w:type="dxa"/>
            <w:bottom w:w="0" w:type="dxa"/>
            <w:right w:w="0" w:type="dxa"/>
          </w:tblCellMar>
        </w:tblPrEx>
        <w:trPr>
          <w:cantSplit/>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378"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工作稳定</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54</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25.1</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25.1</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54.4</w:t>
            </w:r>
          </w:p>
        </w:tc>
      </w:tr>
      <w:tr>
        <w:tblPrEx>
          <w:tblLayout w:type="fixed"/>
          <w:tblCellMar>
            <w:top w:w="0" w:type="dxa"/>
            <w:left w:w="0" w:type="dxa"/>
            <w:bottom w:w="0" w:type="dxa"/>
            <w:right w:w="0" w:type="dxa"/>
          </w:tblCellMar>
        </w:tblPrEx>
        <w:trPr>
          <w:cantSplit/>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378"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工作环境好</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41</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19.1</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19.1</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73.5</w:t>
            </w:r>
          </w:p>
        </w:tc>
      </w:tr>
      <w:tr>
        <w:tblPrEx>
          <w:tblLayout w:type="fixed"/>
          <w:tblCellMar>
            <w:top w:w="0" w:type="dxa"/>
            <w:left w:w="0" w:type="dxa"/>
            <w:bottom w:w="0" w:type="dxa"/>
            <w:right w:w="0" w:type="dxa"/>
          </w:tblCellMar>
        </w:tblPrEx>
        <w:trPr>
          <w:cantSplit/>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378"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实现自我价值</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30</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14.0</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14.0</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87.4</w:t>
            </w:r>
          </w:p>
        </w:tc>
      </w:tr>
      <w:tr>
        <w:tblPrEx>
          <w:tblLayout w:type="fixed"/>
          <w:tblCellMar>
            <w:top w:w="0" w:type="dxa"/>
            <w:left w:w="0" w:type="dxa"/>
            <w:bottom w:w="0" w:type="dxa"/>
            <w:right w:w="0" w:type="dxa"/>
          </w:tblCellMar>
        </w:tblPrEx>
        <w:trPr>
          <w:cantSplit/>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378"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工作地点</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27</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12.6</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12.6</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r>
      <w:tr>
        <w:tblPrEx>
          <w:tblLayout w:type="fixed"/>
          <w:tblCellMar>
            <w:top w:w="0" w:type="dxa"/>
            <w:left w:w="0" w:type="dxa"/>
            <w:bottom w:w="0" w:type="dxa"/>
            <w:right w:w="0" w:type="dxa"/>
          </w:tblCellMar>
        </w:tblPrEx>
        <w:trPr>
          <w:cantSplit/>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378" w:type="dxa"/>
            <w:tcBorders>
              <w:top w:val="nil"/>
              <w:left w:val="nil"/>
              <w:bottom w:val="single" w:color="000000" w:sz="18" w:space="0"/>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合计</w:t>
            </w:r>
          </w:p>
        </w:tc>
        <w:tc>
          <w:tcPr>
            <w:tcW w:w="101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215</w:t>
            </w:r>
          </w:p>
        </w:tc>
        <w:tc>
          <w:tcPr>
            <w:tcW w:w="1009"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20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200" w:type="dxa"/>
            <w:tcBorders>
              <w:top w:val="nil"/>
              <w:left w:val="nil"/>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r>
    </w:tbl>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由表1-1可知，大学生在选择工作时较为工作的薪资、稳定性、环境及地点较为看重，具有一定功利性，重视自身需要，对社会需要考虑较少。就业观一旦形成后，不容易被改变，不仅对大学生现在的就业有一定的影响，对他们自身后续的发展也会有不可估量的影响。</w:t>
      </w:r>
    </w:p>
    <w:tbl>
      <w:tblPr>
        <w:tblStyle w:val="5"/>
        <w:tblW w:w="7920" w:type="dxa"/>
        <w:tblInd w:w="135" w:type="dxa"/>
        <w:tblLayout w:type="fixed"/>
        <w:tblCellMar>
          <w:top w:w="0" w:type="dxa"/>
          <w:left w:w="0" w:type="dxa"/>
          <w:bottom w:w="0" w:type="dxa"/>
          <w:right w:w="0" w:type="dxa"/>
        </w:tblCellMar>
      </w:tblPr>
      <w:tblGrid>
        <w:gridCol w:w="1082"/>
        <w:gridCol w:w="2232"/>
        <w:gridCol w:w="1445"/>
        <w:gridCol w:w="1444"/>
        <w:gridCol w:w="1717"/>
      </w:tblGrid>
      <w:tr>
        <w:tblPrEx>
          <w:tblLayout w:type="fixed"/>
          <w:tblCellMar>
            <w:top w:w="0" w:type="dxa"/>
            <w:left w:w="0" w:type="dxa"/>
            <w:bottom w:w="0" w:type="dxa"/>
            <w:right w:w="0" w:type="dxa"/>
          </w:tblCellMar>
        </w:tblPrEx>
        <w:trPr>
          <w:cantSplit/>
          <w:trHeight w:val="270" w:hRule="atLeast"/>
        </w:trPr>
        <w:tc>
          <w:tcPr>
            <w:tcW w:w="7920" w:type="dxa"/>
            <w:gridSpan w:val="5"/>
            <w:tcBorders>
              <w:top w:val="nil"/>
              <w:left w:val="nil"/>
              <w:bottom w:val="nil"/>
              <w:right w:val="nil"/>
            </w:tcBorders>
            <w:shd w:val="clear" w:color="auto" w:fill="FFFFFF"/>
            <w:vAlign w:val="center"/>
          </w:tcPr>
          <w:p>
            <w:pPr>
              <w:spacing w:line="320" w:lineRule="atLeast"/>
              <w:ind w:left="60" w:right="60"/>
              <w:jc w:val="center"/>
              <w:rPr>
                <w:rFonts w:ascii="宋体" w:hAnsi="宋体" w:eastAsia="宋体"/>
                <w:sz w:val="24"/>
                <w:szCs w:val="24"/>
              </w:rPr>
            </w:pPr>
            <w:r>
              <w:rPr>
                <w:rFonts w:hint="eastAsia" w:ascii="宋体" w:hAnsi="宋体" w:eastAsia="宋体"/>
                <w:b w:val="0"/>
                <w:bCs w:val="0"/>
                <w:sz w:val="24"/>
                <w:szCs w:val="24"/>
              </w:rPr>
              <w:t xml:space="preserve">表1-2   最看重证书 </w:t>
            </w:r>
          </w:p>
        </w:tc>
      </w:tr>
      <w:tr>
        <w:tblPrEx>
          <w:tblLayout w:type="fixed"/>
          <w:tblCellMar>
            <w:top w:w="0" w:type="dxa"/>
            <w:left w:w="0" w:type="dxa"/>
            <w:bottom w:w="0" w:type="dxa"/>
            <w:right w:w="0" w:type="dxa"/>
          </w:tblCellMar>
        </w:tblPrEx>
        <w:trPr>
          <w:cantSplit/>
          <w:trHeight w:val="342" w:hRule="atLeast"/>
        </w:trPr>
        <w:tc>
          <w:tcPr>
            <w:tcW w:w="3314" w:type="dxa"/>
            <w:gridSpan w:val="2"/>
            <w:vMerge w:val="restart"/>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c>
          <w:tcPr>
            <w:tcW w:w="2889" w:type="dxa"/>
            <w:gridSpan w:val="2"/>
            <w:tcBorders>
              <w:top w:val="single" w:color="000000" w:sz="18" w:space="0"/>
              <w:left w:val="nil"/>
              <w:bottom w:val="single" w:color="000000" w:sz="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响应</w:t>
            </w:r>
          </w:p>
        </w:tc>
        <w:tc>
          <w:tcPr>
            <w:tcW w:w="1717" w:type="dxa"/>
            <w:vMerge w:val="restart"/>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个案百分比</w:t>
            </w:r>
          </w:p>
        </w:tc>
      </w:tr>
      <w:tr>
        <w:tblPrEx>
          <w:tblLayout w:type="fixed"/>
          <w:tblCellMar>
            <w:top w:w="0" w:type="dxa"/>
            <w:left w:w="0" w:type="dxa"/>
            <w:bottom w:w="0" w:type="dxa"/>
            <w:right w:w="0" w:type="dxa"/>
          </w:tblCellMar>
        </w:tblPrEx>
        <w:trPr>
          <w:cantSplit/>
          <w:trHeight w:val="342" w:hRule="atLeast"/>
        </w:trPr>
        <w:tc>
          <w:tcPr>
            <w:tcW w:w="3314" w:type="dxa"/>
            <w:gridSpan w:val="2"/>
            <w:vMerge w:val="continue"/>
            <w:tcBorders>
              <w:top w:val="single" w:color="000000" w:sz="18" w:space="0"/>
              <w:left w:val="single" w:color="000000" w:sz="18" w:space="0"/>
              <w:bottom w:val="single" w:color="000000" w:sz="18" w:space="0"/>
              <w:right w:val="single" w:color="000000" w:sz="18" w:space="0"/>
            </w:tcBorders>
            <w:vAlign w:val="center"/>
          </w:tcPr>
          <w:p>
            <w:pPr>
              <w:widowControl/>
              <w:jc w:val="left"/>
              <w:rPr>
                <w:rFonts w:ascii="宋体" w:hAnsi="宋体" w:eastAsia="宋体"/>
                <w:sz w:val="24"/>
                <w:szCs w:val="24"/>
              </w:rPr>
            </w:pPr>
          </w:p>
        </w:tc>
        <w:tc>
          <w:tcPr>
            <w:tcW w:w="1445" w:type="dxa"/>
            <w:tcBorders>
              <w:top w:val="single" w:color="000000" w:sz="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N</w:t>
            </w:r>
          </w:p>
        </w:tc>
        <w:tc>
          <w:tcPr>
            <w:tcW w:w="1444" w:type="dxa"/>
            <w:tcBorders>
              <w:top w:val="single" w:color="000000" w:sz="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百分比</w:t>
            </w:r>
          </w:p>
        </w:tc>
        <w:tc>
          <w:tcPr>
            <w:tcW w:w="1717" w:type="dxa"/>
            <w:vMerge w:val="continue"/>
            <w:tcBorders>
              <w:top w:val="single" w:color="000000" w:sz="18" w:space="0"/>
              <w:left w:val="nil"/>
              <w:bottom w:val="single" w:color="000000" w:sz="18" w:space="0"/>
              <w:right w:val="single" w:color="000000" w:sz="18" w:space="0"/>
            </w:tcBorders>
            <w:vAlign w:val="center"/>
          </w:tcPr>
          <w:p>
            <w:pPr>
              <w:widowControl/>
              <w:jc w:val="left"/>
              <w:rPr>
                <w:rFonts w:ascii="宋体" w:hAnsi="宋体" w:eastAsia="宋体"/>
                <w:sz w:val="24"/>
                <w:szCs w:val="24"/>
              </w:rPr>
            </w:pPr>
          </w:p>
        </w:tc>
      </w:tr>
      <w:tr>
        <w:tblPrEx>
          <w:tblLayout w:type="fixed"/>
          <w:tblCellMar>
            <w:top w:w="0" w:type="dxa"/>
            <w:left w:w="0" w:type="dxa"/>
            <w:bottom w:w="0" w:type="dxa"/>
            <w:right w:w="0" w:type="dxa"/>
          </w:tblCellMar>
        </w:tblPrEx>
        <w:trPr>
          <w:cantSplit/>
          <w:trHeight w:val="342" w:hRule="atLeast"/>
        </w:trPr>
        <w:tc>
          <w:tcPr>
            <w:tcW w:w="1082" w:type="dxa"/>
            <w:vMerge w:val="restart"/>
            <w:tcBorders>
              <w:top w:val="nil"/>
              <w:left w:val="single" w:color="000000" w:sz="18" w:space="0"/>
              <w:bottom w:val="nil"/>
              <w:right w:val="nil"/>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有效</w:t>
            </w:r>
            <w:r>
              <w:rPr>
                <w:rFonts w:hint="eastAsia" w:ascii="宋体" w:hAnsi="宋体" w:eastAsia="宋体"/>
                <w:sz w:val="24"/>
                <w:szCs w:val="24"/>
                <w:vertAlign w:val="superscript"/>
              </w:rPr>
              <w:t>a</w:t>
            </w:r>
          </w:p>
        </w:tc>
        <w:tc>
          <w:tcPr>
            <w:tcW w:w="2232" w:type="dxa"/>
            <w:tcBorders>
              <w:top w:val="single" w:color="000000" w:sz="18" w:space="0"/>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英语四六级证书</w:t>
            </w:r>
          </w:p>
        </w:tc>
        <w:tc>
          <w:tcPr>
            <w:tcW w:w="1445"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185</w:t>
            </w:r>
          </w:p>
        </w:tc>
        <w:tc>
          <w:tcPr>
            <w:tcW w:w="1444"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22.8%</w:t>
            </w:r>
          </w:p>
        </w:tc>
        <w:tc>
          <w:tcPr>
            <w:tcW w:w="1717"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86.0%</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计算机二级证书</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163</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20.1%</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75.8%</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普通话等级证书</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153</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18.9%</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71.2%</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教师资格证</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172</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21.2%</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80.0%</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获得奖学金证书</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56</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6.9%</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26.0%</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参加比赛的证书</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59</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7.3%</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27.4%</w:t>
            </w:r>
          </w:p>
        </w:tc>
      </w:tr>
      <w:tr>
        <w:tblPrEx>
          <w:tblLayout w:type="fixed"/>
          <w:tblCellMar>
            <w:top w:w="0" w:type="dxa"/>
            <w:left w:w="0" w:type="dxa"/>
            <w:bottom w:w="0" w:type="dxa"/>
            <w:right w:w="0" w:type="dxa"/>
          </w:tblCellMar>
        </w:tblPrEx>
        <w:trPr>
          <w:cantSplit/>
          <w:trHeight w:val="270" w:hRule="atLeast"/>
        </w:trPr>
        <w:tc>
          <w:tcPr>
            <w:tcW w:w="1082" w:type="dxa"/>
            <w:vMerge w:val="continue"/>
            <w:tcBorders>
              <w:top w:val="nil"/>
              <w:left w:val="single" w:color="000000" w:sz="18" w:space="0"/>
              <w:bottom w:val="nil"/>
              <w:right w:val="nil"/>
            </w:tcBorders>
            <w:vAlign w:val="center"/>
          </w:tcPr>
          <w:p>
            <w:pPr>
              <w:widowControl/>
              <w:jc w:val="left"/>
              <w:rPr>
                <w:rFonts w:ascii="宋体" w:hAnsi="宋体" w:eastAsia="宋体"/>
                <w:sz w:val="24"/>
                <w:szCs w:val="24"/>
              </w:rPr>
            </w:pPr>
          </w:p>
        </w:tc>
        <w:tc>
          <w:tcPr>
            <w:tcW w:w="2232"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其他</w:t>
            </w:r>
          </w:p>
        </w:tc>
        <w:tc>
          <w:tcPr>
            <w:tcW w:w="1445"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22</w:t>
            </w:r>
          </w:p>
        </w:tc>
        <w:tc>
          <w:tcPr>
            <w:tcW w:w="1444"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2.7%</w:t>
            </w:r>
          </w:p>
        </w:tc>
        <w:tc>
          <w:tcPr>
            <w:tcW w:w="1717"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10.2%</w:t>
            </w:r>
          </w:p>
        </w:tc>
      </w:tr>
      <w:tr>
        <w:tblPrEx>
          <w:tblLayout w:type="fixed"/>
          <w:tblCellMar>
            <w:top w:w="0" w:type="dxa"/>
            <w:left w:w="0" w:type="dxa"/>
            <w:bottom w:w="0" w:type="dxa"/>
            <w:right w:w="0" w:type="dxa"/>
          </w:tblCellMar>
        </w:tblPrEx>
        <w:trPr>
          <w:cantSplit/>
          <w:trHeight w:val="270" w:hRule="atLeast"/>
        </w:trPr>
        <w:tc>
          <w:tcPr>
            <w:tcW w:w="3314" w:type="dxa"/>
            <w:gridSpan w:val="2"/>
            <w:tcBorders>
              <w:top w:val="nil"/>
              <w:left w:val="single" w:color="000000" w:sz="18" w:space="0"/>
              <w:bottom w:val="single" w:color="000000" w:sz="18" w:space="0"/>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总计</w:t>
            </w:r>
          </w:p>
        </w:tc>
        <w:tc>
          <w:tcPr>
            <w:tcW w:w="1445"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810</w:t>
            </w:r>
          </w:p>
        </w:tc>
        <w:tc>
          <w:tcPr>
            <w:tcW w:w="1444"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717" w:type="dxa"/>
            <w:tcBorders>
              <w:top w:val="nil"/>
              <w:left w:val="nil"/>
              <w:bottom w:val="single" w:color="000000" w:sz="18" w:space="0"/>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376.7%</w:t>
            </w:r>
          </w:p>
        </w:tc>
      </w:tr>
      <w:tr>
        <w:tblPrEx>
          <w:tblLayout w:type="fixed"/>
          <w:tblCellMar>
            <w:top w:w="0" w:type="dxa"/>
            <w:left w:w="0" w:type="dxa"/>
            <w:bottom w:w="0" w:type="dxa"/>
            <w:right w:w="0" w:type="dxa"/>
          </w:tblCellMar>
        </w:tblPrEx>
        <w:trPr>
          <w:cantSplit/>
          <w:trHeight w:val="577" w:hRule="atLeast"/>
        </w:trPr>
        <w:tc>
          <w:tcPr>
            <w:tcW w:w="7920" w:type="dxa"/>
            <w:gridSpan w:val="5"/>
            <w:tcBorders>
              <w:top w:val="nil"/>
              <w:left w:val="nil"/>
              <w:bottom w:val="nil"/>
              <w:right w:val="nil"/>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a. 值为 1 时制表的二分组。</w:t>
            </w:r>
          </w:p>
          <w:p>
            <w:pPr>
              <w:spacing w:line="320" w:lineRule="atLeast"/>
              <w:ind w:left="60" w:right="60"/>
              <w:rPr>
                <w:rFonts w:ascii="宋体" w:hAnsi="宋体" w:eastAsia="宋体"/>
                <w:sz w:val="24"/>
                <w:szCs w:val="24"/>
              </w:rPr>
            </w:pPr>
          </w:p>
        </w:tc>
      </w:tr>
    </w:tbl>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从表1-2可以看出，英语四六级（86.0%）的比重最大，其余比重较大依次是教师资格证、普通话和计算机二级。然而针对我院本科毕业生在中初教育单位工作的比例较大的客观事实，我们对多家学校以及培训机构的负责人进行采访，据他们说道，现在的大学生存在“考证热”的现象，而其实证书并不完全等于实际能力。在招聘非英语专业老师，，英语四六级证书不会作为一个参考标准，他们更重视应聘者的一些实际能力，比如：自主、终身学习的能力、责任心和教学态度等。可见学生和单位之间存在供需不匹配的现象。</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1.3.2就业影响因素</w:t>
      </w:r>
    </w:p>
    <w:tbl>
      <w:tblPr>
        <w:tblStyle w:val="5"/>
        <w:tblW w:w="8540" w:type="dxa"/>
        <w:tblInd w:w="135" w:type="dxa"/>
        <w:tblLayout w:type="fixed"/>
        <w:tblCellMar>
          <w:top w:w="0" w:type="dxa"/>
          <w:left w:w="0" w:type="dxa"/>
          <w:bottom w:w="0" w:type="dxa"/>
          <w:right w:w="0" w:type="dxa"/>
        </w:tblCellMar>
      </w:tblPr>
      <w:tblGrid>
        <w:gridCol w:w="856"/>
        <w:gridCol w:w="2480"/>
        <w:gridCol w:w="1190"/>
        <w:gridCol w:w="1188"/>
        <w:gridCol w:w="1412"/>
        <w:gridCol w:w="1414"/>
      </w:tblGrid>
      <w:tr>
        <w:tblPrEx>
          <w:tblLayout w:type="fixed"/>
          <w:tblCellMar>
            <w:top w:w="0" w:type="dxa"/>
            <w:left w:w="0" w:type="dxa"/>
            <w:bottom w:w="0" w:type="dxa"/>
            <w:right w:w="0" w:type="dxa"/>
          </w:tblCellMar>
        </w:tblPrEx>
        <w:trPr>
          <w:cantSplit/>
          <w:trHeight w:val="90" w:hRule="atLeast"/>
        </w:trPr>
        <w:tc>
          <w:tcPr>
            <w:tcW w:w="8540" w:type="dxa"/>
            <w:gridSpan w:val="6"/>
            <w:tcBorders>
              <w:top w:val="nil"/>
              <w:left w:val="nil"/>
              <w:bottom w:val="nil"/>
              <w:right w:val="nil"/>
            </w:tcBorders>
            <w:shd w:val="clear" w:color="auto" w:fill="FFFFFF"/>
            <w:vAlign w:val="center"/>
          </w:tcPr>
          <w:p>
            <w:pPr>
              <w:spacing w:line="320" w:lineRule="atLeast"/>
              <w:ind w:left="60" w:right="60"/>
              <w:jc w:val="center"/>
              <w:rPr>
                <w:rFonts w:ascii="宋体" w:hAnsi="宋体" w:eastAsia="宋体"/>
                <w:sz w:val="24"/>
                <w:szCs w:val="24"/>
              </w:rPr>
            </w:pPr>
            <w:r>
              <w:rPr>
                <w:rFonts w:hint="eastAsia" w:ascii="宋体" w:hAnsi="宋体" w:eastAsia="宋体"/>
                <w:b w:val="0"/>
                <w:bCs w:val="0"/>
                <w:sz w:val="24"/>
                <w:szCs w:val="24"/>
              </w:rPr>
              <w:t>表1-就业弱项</w:t>
            </w:r>
          </w:p>
        </w:tc>
      </w:tr>
      <w:tr>
        <w:tblPrEx>
          <w:tblLayout w:type="fixed"/>
          <w:tblCellMar>
            <w:top w:w="0" w:type="dxa"/>
            <w:left w:w="0" w:type="dxa"/>
            <w:bottom w:w="0" w:type="dxa"/>
            <w:right w:w="0" w:type="dxa"/>
          </w:tblCellMar>
        </w:tblPrEx>
        <w:trPr>
          <w:cantSplit/>
          <w:trHeight w:val="90" w:hRule="atLeast"/>
        </w:trPr>
        <w:tc>
          <w:tcPr>
            <w:tcW w:w="3336" w:type="dxa"/>
            <w:gridSpan w:val="2"/>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c>
          <w:tcPr>
            <w:tcW w:w="119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频率</w:t>
            </w:r>
          </w:p>
        </w:tc>
        <w:tc>
          <w:tcPr>
            <w:tcW w:w="1188"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百分比</w:t>
            </w:r>
          </w:p>
        </w:tc>
        <w:tc>
          <w:tcPr>
            <w:tcW w:w="1412"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有效百分比</w:t>
            </w:r>
          </w:p>
        </w:tc>
        <w:tc>
          <w:tcPr>
            <w:tcW w:w="1414" w:type="dxa"/>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累积百分比</w:t>
            </w:r>
          </w:p>
        </w:tc>
      </w:tr>
      <w:tr>
        <w:tblPrEx>
          <w:tblLayout w:type="fixed"/>
          <w:tblCellMar>
            <w:top w:w="0" w:type="dxa"/>
            <w:left w:w="0" w:type="dxa"/>
            <w:bottom w:w="0" w:type="dxa"/>
            <w:right w:w="0" w:type="dxa"/>
          </w:tblCellMar>
        </w:tblPrEx>
        <w:trPr>
          <w:cantSplit/>
          <w:trHeight w:val="90" w:hRule="atLeast"/>
        </w:trPr>
        <w:tc>
          <w:tcPr>
            <w:tcW w:w="856" w:type="dxa"/>
            <w:vMerge w:val="restart"/>
            <w:tcBorders>
              <w:top w:val="nil"/>
              <w:left w:val="single" w:color="000000" w:sz="18" w:space="0"/>
              <w:bottom w:val="single" w:color="000000" w:sz="18" w:space="0"/>
              <w:right w:val="nil"/>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有效</w:t>
            </w:r>
          </w:p>
        </w:tc>
        <w:tc>
          <w:tcPr>
            <w:tcW w:w="2480" w:type="dxa"/>
            <w:tcBorders>
              <w:top w:val="single" w:color="000000" w:sz="18" w:space="0"/>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承受压力，克服困难</w:t>
            </w:r>
          </w:p>
        </w:tc>
        <w:tc>
          <w:tcPr>
            <w:tcW w:w="119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57</w:t>
            </w:r>
          </w:p>
        </w:tc>
        <w:tc>
          <w:tcPr>
            <w:tcW w:w="1188"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26.5</w:t>
            </w:r>
          </w:p>
        </w:tc>
        <w:tc>
          <w:tcPr>
            <w:tcW w:w="1412"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26.5</w:t>
            </w:r>
          </w:p>
        </w:tc>
        <w:tc>
          <w:tcPr>
            <w:tcW w:w="1414"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26.5</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没有明确职业生涯规划</w:t>
            </w:r>
          </w:p>
        </w:tc>
        <w:tc>
          <w:tcPr>
            <w:tcW w:w="119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69</w:t>
            </w:r>
          </w:p>
        </w:tc>
        <w:tc>
          <w:tcPr>
            <w:tcW w:w="1188"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32.1</w:t>
            </w:r>
          </w:p>
        </w:tc>
        <w:tc>
          <w:tcPr>
            <w:tcW w:w="1412"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32.1</w:t>
            </w:r>
          </w:p>
        </w:tc>
        <w:tc>
          <w:tcPr>
            <w:tcW w:w="1414"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58.6</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相关工作经验</w:t>
            </w:r>
          </w:p>
        </w:tc>
        <w:tc>
          <w:tcPr>
            <w:tcW w:w="119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50</w:t>
            </w:r>
          </w:p>
        </w:tc>
        <w:tc>
          <w:tcPr>
            <w:tcW w:w="1188"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23.3</w:t>
            </w:r>
          </w:p>
        </w:tc>
        <w:tc>
          <w:tcPr>
            <w:tcW w:w="1412"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23.3</w:t>
            </w:r>
          </w:p>
        </w:tc>
        <w:tc>
          <w:tcPr>
            <w:tcW w:w="1414"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81.9</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专业知识或技能</w:t>
            </w:r>
          </w:p>
        </w:tc>
        <w:tc>
          <w:tcPr>
            <w:tcW w:w="119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w:t>
            </w:r>
          </w:p>
        </w:tc>
        <w:tc>
          <w:tcPr>
            <w:tcW w:w="1188"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4.7</w:t>
            </w:r>
          </w:p>
        </w:tc>
        <w:tc>
          <w:tcPr>
            <w:tcW w:w="1412"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4.7</w:t>
            </w:r>
          </w:p>
        </w:tc>
        <w:tc>
          <w:tcPr>
            <w:tcW w:w="1414"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86.5</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求职技巧和表达能力</w:t>
            </w:r>
          </w:p>
        </w:tc>
        <w:tc>
          <w:tcPr>
            <w:tcW w:w="119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15</w:t>
            </w:r>
          </w:p>
        </w:tc>
        <w:tc>
          <w:tcPr>
            <w:tcW w:w="1188"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7.0</w:t>
            </w:r>
          </w:p>
        </w:tc>
        <w:tc>
          <w:tcPr>
            <w:tcW w:w="1412"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7.0</w:t>
            </w:r>
          </w:p>
        </w:tc>
        <w:tc>
          <w:tcPr>
            <w:tcW w:w="1414"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93.5</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其他</w:t>
            </w:r>
          </w:p>
        </w:tc>
        <w:tc>
          <w:tcPr>
            <w:tcW w:w="119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14</w:t>
            </w:r>
          </w:p>
        </w:tc>
        <w:tc>
          <w:tcPr>
            <w:tcW w:w="1188"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6.5</w:t>
            </w:r>
          </w:p>
        </w:tc>
        <w:tc>
          <w:tcPr>
            <w:tcW w:w="1412"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6.5</w:t>
            </w:r>
          </w:p>
        </w:tc>
        <w:tc>
          <w:tcPr>
            <w:tcW w:w="1414"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r>
      <w:tr>
        <w:tblPrEx>
          <w:tblLayout w:type="fixed"/>
          <w:tblCellMar>
            <w:top w:w="0" w:type="dxa"/>
            <w:left w:w="0" w:type="dxa"/>
            <w:bottom w:w="0" w:type="dxa"/>
            <w:right w:w="0" w:type="dxa"/>
          </w:tblCellMar>
        </w:tblPrEx>
        <w:trPr>
          <w:cantSplit/>
          <w:trHeight w:val="90" w:hRule="atLeast"/>
        </w:trPr>
        <w:tc>
          <w:tcPr>
            <w:tcW w:w="856"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2480" w:type="dxa"/>
            <w:tcBorders>
              <w:top w:val="nil"/>
              <w:left w:val="nil"/>
              <w:bottom w:val="single" w:color="000000" w:sz="18" w:space="0"/>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合计</w:t>
            </w:r>
          </w:p>
        </w:tc>
        <w:tc>
          <w:tcPr>
            <w:tcW w:w="119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215</w:t>
            </w:r>
          </w:p>
        </w:tc>
        <w:tc>
          <w:tcPr>
            <w:tcW w:w="1188"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412"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414" w:type="dxa"/>
            <w:tcBorders>
              <w:top w:val="nil"/>
              <w:left w:val="nil"/>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r>
    </w:tbl>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通过表1-3可以看出，有32.1%的学生认为自己没有明确的职业生涯规划，处于就业迷茫期；缺乏承受压力克服困难的能力所占比例仅次之，当代大学生大多为90后，生长环境优渥，一路遇到的问题相对比较单纯，这就导致他们在面对重大选择、困难和压力等缺乏勇气，容易一遇到挫折就一蹶不振；应届毕业大学生缺乏相关工作经验也是一个不可忽视的客观因素。</w:t>
      </w:r>
    </w:p>
    <w:p>
      <w:pPr>
        <w:rPr>
          <w:rFonts w:ascii="宋体" w:hAnsi="宋体" w:eastAsia="宋体"/>
          <w:sz w:val="24"/>
          <w:szCs w:val="24"/>
        </w:rPr>
      </w:pPr>
      <w:r>
        <w:rPr>
          <w:rFonts w:hint="eastAsia" w:ascii="宋体" w:hAnsi="宋体" w:eastAsia="宋体"/>
          <w:sz w:val="24"/>
          <w:szCs w:val="24"/>
        </w:rPr>
        <w:t xml:space="preserve"> </w:t>
      </w:r>
    </w:p>
    <w:tbl>
      <w:tblPr>
        <w:tblStyle w:val="5"/>
        <w:tblW w:w="6160" w:type="dxa"/>
        <w:jc w:val="center"/>
        <w:tblInd w:w="0" w:type="dxa"/>
        <w:tblLayout w:type="fixed"/>
        <w:tblCellMar>
          <w:top w:w="0" w:type="dxa"/>
          <w:left w:w="0" w:type="dxa"/>
          <w:bottom w:w="0" w:type="dxa"/>
          <w:right w:w="0" w:type="dxa"/>
        </w:tblCellMar>
      </w:tblPr>
      <w:tblGrid>
        <w:gridCol w:w="727"/>
        <w:gridCol w:w="1014"/>
        <w:gridCol w:w="1010"/>
        <w:gridCol w:w="1009"/>
        <w:gridCol w:w="1200"/>
        <w:gridCol w:w="1200"/>
      </w:tblGrid>
      <w:tr>
        <w:tblPrEx>
          <w:tblLayout w:type="fixed"/>
          <w:tblCellMar>
            <w:top w:w="0" w:type="dxa"/>
            <w:left w:w="0" w:type="dxa"/>
            <w:bottom w:w="0" w:type="dxa"/>
            <w:right w:w="0" w:type="dxa"/>
          </w:tblCellMar>
        </w:tblPrEx>
        <w:trPr>
          <w:cantSplit/>
          <w:jc w:val="center"/>
        </w:trPr>
        <w:tc>
          <w:tcPr>
            <w:tcW w:w="6160" w:type="dxa"/>
            <w:gridSpan w:val="6"/>
            <w:tcBorders>
              <w:top w:val="nil"/>
              <w:left w:val="nil"/>
              <w:bottom w:val="nil"/>
              <w:right w:val="nil"/>
            </w:tcBorders>
            <w:shd w:val="clear" w:color="auto" w:fill="FFFFFF"/>
            <w:vAlign w:val="center"/>
          </w:tcPr>
          <w:p>
            <w:pPr>
              <w:spacing w:line="320" w:lineRule="atLeast"/>
              <w:ind w:left="60" w:right="60"/>
              <w:jc w:val="center"/>
              <w:rPr>
                <w:rFonts w:ascii="宋体" w:hAnsi="宋体" w:eastAsia="宋体"/>
                <w:sz w:val="24"/>
                <w:szCs w:val="24"/>
              </w:rPr>
            </w:pPr>
            <w:r>
              <w:rPr>
                <w:rFonts w:hint="eastAsia" w:ascii="宋体" w:hAnsi="宋体" w:eastAsia="宋体"/>
                <w:b w:val="0"/>
                <w:bCs w:val="0"/>
                <w:sz w:val="24"/>
                <w:szCs w:val="24"/>
              </w:rPr>
              <w:t>表1-4   相关职业、单位了解度</w:t>
            </w:r>
          </w:p>
        </w:tc>
      </w:tr>
      <w:tr>
        <w:tblPrEx>
          <w:tblLayout w:type="fixed"/>
          <w:tblCellMar>
            <w:top w:w="0" w:type="dxa"/>
            <w:left w:w="0" w:type="dxa"/>
            <w:bottom w:w="0" w:type="dxa"/>
            <w:right w:w="0" w:type="dxa"/>
          </w:tblCellMar>
        </w:tblPrEx>
        <w:trPr>
          <w:cantSplit/>
          <w:jc w:val="center"/>
        </w:trPr>
        <w:tc>
          <w:tcPr>
            <w:tcW w:w="1741" w:type="dxa"/>
            <w:gridSpan w:val="2"/>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c>
          <w:tcPr>
            <w:tcW w:w="101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频率</w:t>
            </w:r>
          </w:p>
        </w:tc>
        <w:tc>
          <w:tcPr>
            <w:tcW w:w="1009"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百分比</w:t>
            </w:r>
          </w:p>
        </w:tc>
        <w:tc>
          <w:tcPr>
            <w:tcW w:w="120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有效百分比</w:t>
            </w:r>
          </w:p>
        </w:tc>
        <w:tc>
          <w:tcPr>
            <w:tcW w:w="1200" w:type="dxa"/>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ascii="宋体" w:hAnsi="宋体" w:eastAsia="宋体"/>
                <w:sz w:val="24"/>
                <w:szCs w:val="24"/>
              </w:rPr>
            </w:pPr>
            <w:r>
              <w:rPr>
                <w:rFonts w:hint="eastAsia" w:ascii="宋体" w:hAnsi="宋体" w:eastAsia="宋体"/>
                <w:sz w:val="24"/>
                <w:szCs w:val="24"/>
              </w:rPr>
              <w:t>累积百分比</w:t>
            </w:r>
          </w:p>
        </w:tc>
      </w:tr>
      <w:tr>
        <w:tblPrEx>
          <w:tblLayout w:type="fixed"/>
          <w:tblCellMar>
            <w:top w:w="0" w:type="dxa"/>
            <w:left w:w="0" w:type="dxa"/>
            <w:bottom w:w="0" w:type="dxa"/>
            <w:right w:w="0" w:type="dxa"/>
          </w:tblCellMar>
        </w:tblPrEx>
        <w:trPr>
          <w:cantSplit/>
          <w:jc w:val="center"/>
        </w:trPr>
        <w:tc>
          <w:tcPr>
            <w:tcW w:w="727" w:type="dxa"/>
            <w:vMerge w:val="restart"/>
            <w:tcBorders>
              <w:top w:val="nil"/>
              <w:left w:val="single" w:color="000000" w:sz="18" w:space="0"/>
              <w:bottom w:val="single" w:color="000000" w:sz="18" w:space="0"/>
              <w:right w:val="nil"/>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有效</w:t>
            </w:r>
          </w:p>
        </w:tc>
        <w:tc>
          <w:tcPr>
            <w:tcW w:w="1014" w:type="dxa"/>
            <w:tcBorders>
              <w:top w:val="single" w:color="000000" w:sz="18" w:space="0"/>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非常了解</w:t>
            </w:r>
          </w:p>
        </w:tc>
        <w:tc>
          <w:tcPr>
            <w:tcW w:w="101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5</w:t>
            </w:r>
          </w:p>
        </w:tc>
        <w:tc>
          <w:tcPr>
            <w:tcW w:w="1009"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2.3</w:t>
            </w:r>
          </w:p>
        </w:tc>
        <w:tc>
          <w:tcPr>
            <w:tcW w:w="120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2.3</w:t>
            </w:r>
          </w:p>
        </w:tc>
        <w:tc>
          <w:tcPr>
            <w:tcW w:w="1200"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2.3</w:t>
            </w:r>
          </w:p>
        </w:tc>
      </w:tr>
      <w:tr>
        <w:tblPrEx>
          <w:tblLayout w:type="fixed"/>
          <w:tblCellMar>
            <w:top w:w="0" w:type="dxa"/>
            <w:left w:w="0" w:type="dxa"/>
            <w:bottom w:w="0" w:type="dxa"/>
            <w:right w:w="0" w:type="dxa"/>
          </w:tblCellMar>
        </w:tblPrEx>
        <w:trPr>
          <w:cantSplit/>
          <w:jc w:val="center"/>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014"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了解</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49</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22.8</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22.8</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25.1</w:t>
            </w:r>
          </w:p>
        </w:tc>
      </w:tr>
      <w:tr>
        <w:tblPrEx>
          <w:tblLayout w:type="fixed"/>
          <w:tblCellMar>
            <w:top w:w="0" w:type="dxa"/>
            <w:left w:w="0" w:type="dxa"/>
            <w:bottom w:w="0" w:type="dxa"/>
            <w:right w:w="0" w:type="dxa"/>
          </w:tblCellMar>
        </w:tblPrEx>
        <w:trPr>
          <w:cantSplit/>
          <w:jc w:val="center"/>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014"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一般</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91</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42.3</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42.3</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67.4</w:t>
            </w:r>
          </w:p>
        </w:tc>
      </w:tr>
      <w:tr>
        <w:tblPrEx>
          <w:tblLayout w:type="fixed"/>
          <w:tblCellMar>
            <w:top w:w="0" w:type="dxa"/>
            <w:left w:w="0" w:type="dxa"/>
            <w:bottom w:w="0" w:type="dxa"/>
            <w:right w:w="0" w:type="dxa"/>
          </w:tblCellMar>
        </w:tblPrEx>
        <w:trPr>
          <w:cantSplit/>
          <w:jc w:val="center"/>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014"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不太了解</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60</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27.9</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27.9</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95.3</w:t>
            </w:r>
          </w:p>
        </w:tc>
      </w:tr>
      <w:tr>
        <w:tblPrEx>
          <w:tblLayout w:type="fixed"/>
          <w:tblCellMar>
            <w:top w:w="0" w:type="dxa"/>
            <w:left w:w="0" w:type="dxa"/>
            <w:bottom w:w="0" w:type="dxa"/>
            <w:right w:w="0" w:type="dxa"/>
          </w:tblCellMar>
        </w:tblPrEx>
        <w:trPr>
          <w:cantSplit/>
          <w:jc w:val="center"/>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014" w:type="dxa"/>
            <w:tcBorders>
              <w:top w:val="nil"/>
              <w:left w:val="nil"/>
              <w:bottom w:val="nil"/>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不了解</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4.7</w:t>
            </w:r>
          </w:p>
        </w:tc>
        <w:tc>
          <w:tcPr>
            <w:tcW w:w="1200" w:type="dxa"/>
            <w:tcBorders>
              <w:top w:val="nil"/>
              <w:left w:val="nil"/>
              <w:bottom w:val="nil"/>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4.7</w:t>
            </w:r>
          </w:p>
        </w:tc>
        <w:tc>
          <w:tcPr>
            <w:tcW w:w="1200" w:type="dxa"/>
            <w:tcBorders>
              <w:top w:val="nil"/>
              <w:left w:val="nil"/>
              <w:bottom w:val="nil"/>
              <w:right w:val="single" w:color="000000" w:sz="1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r>
      <w:tr>
        <w:tblPrEx>
          <w:tblLayout w:type="fixed"/>
          <w:tblCellMar>
            <w:top w:w="0" w:type="dxa"/>
            <w:left w:w="0" w:type="dxa"/>
            <w:bottom w:w="0" w:type="dxa"/>
            <w:right w:w="0" w:type="dxa"/>
          </w:tblCellMar>
        </w:tblPrEx>
        <w:trPr>
          <w:cantSplit/>
          <w:jc w:val="center"/>
        </w:trPr>
        <w:tc>
          <w:tcPr>
            <w:tcW w:w="727" w:type="dxa"/>
            <w:vMerge w:val="continue"/>
            <w:tcBorders>
              <w:top w:val="nil"/>
              <w:left w:val="single" w:color="000000" w:sz="18" w:space="0"/>
              <w:bottom w:val="single" w:color="000000" w:sz="18" w:space="0"/>
              <w:right w:val="nil"/>
            </w:tcBorders>
            <w:vAlign w:val="center"/>
          </w:tcPr>
          <w:p>
            <w:pPr>
              <w:widowControl/>
              <w:jc w:val="left"/>
              <w:rPr>
                <w:rFonts w:ascii="宋体" w:hAnsi="宋体" w:eastAsia="宋体"/>
                <w:sz w:val="24"/>
                <w:szCs w:val="24"/>
              </w:rPr>
            </w:pPr>
          </w:p>
        </w:tc>
        <w:tc>
          <w:tcPr>
            <w:tcW w:w="1014" w:type="dxa"/>
            <w:tcBorders>
              <w:top w:val="nil"/>
              <w:left w:val="nil"/>
              <w:bottom w:val="single" w:color="000000" w:sz="18" w:space="0"/>
              <w:right w:val="single" w:color="000000" w:sz="18" w:space="0"/>
            </w:tcBorders>
            <w:shd w:val="clear" w:color="auto" w:fill="FFFFFF"/>
          </w:tcPr>
          <w:p>
            <w:pPr>
              <w:spacing w:line="320" w:lineRule="atLeast"/>
              <w:ind w:left="60" w:right="60"/>
              <w:rPr>
                <w:rFonts w:ascii="宋体" w:hAnsi="宋体" w:eastAsia="宋体"/>
                <w:sz w:val="24"/>
                <w:szCs w:val="24"/>
              </w:rPr>
            </w:pPr>
            <w:r>
              <w:rPr>
                <w:rFonts w:hint="eastAsia" w:ascii="宋体" w:hAnsi="宋体" w:eastAsia="宋体"/>
                <w:sz w:val="24"/>
                <w:szCs w:val="24"/>
              </w:rPr>
              <w:t>合计</w:t>
            </w:r>
          </w:p>
        </w:tc>
        <w:tc>
          <w:tcPr>
            <w:tcW w:w="101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215</w:t>
            </w:r>
          </w:p>
        </w:tc>
        <w:tc>
          <w:tcPr>
            <w:tcW w:w="1009"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20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ascii="宋体" w:hAnsi="宋体" w:eastAsia="宋体"/>
                <w:sz w:val="24"/>
                <w:szCs w:val="24"/>
              </w:rPr>
            </w:pPr>
            <w:r>
              <w:rPr>
                <w:rFonts w:hint="eastAsia" w:ascii="宋体" w:hAnsi="宋体" w:eastAsia="宋体"/>
                <w:sz w:val="24"/>
                <w:szCs w:val="24"/>
              </w:rPr>
              <w:t>100.0</w:t>
            </w:r>
          </w:p>
        </w:tc>
        <w:tc>
          <w:tcPr>
            <w:tcW w:w="1200" w:type="dxa"/>
            <w:tcBorders>
              <w:top w:val="nil"/>
              <w:left w:val="nil"/>
              <w:bottom w:val="single" w:color="000000" w:sz="18" w:space="0"/>
              <w:right w:val="single" w:color="000000" w:sz="18" w:space="0"/>
            </w:tcBorders>
            <w:shd w:val="clear" w:color="auto" w:fill="FFFFFF"/>
            <w:vAlign w:val="center"/>
          </w:tcPr>
          <w:p>
            <w:pPr>
              <w:jc w:val="center"/>
              <w:rPr>
                <w:rFonts w:ascii="宋体" w:hAnsi="宋体" w:eastAsia="宋体"/>
                <w:sz w:val="24"/>
                <w:szCs w:val="24"/>
              </w:rPr>
            </w:pPr>
          </w:p>
        </w:tc>
      </w:tr>
    </w:tbl>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从表1-4可知，不了解职业相关趋势和背景竟达74.9%，大学生对职业以及相关单位的缺乏了解导致他们不能明确未来将从事的职业方向，这也是大学生对前途感到迷茫的一个原因。</w:t>
      </w:r>
    </w:p>
    <w:p>
      <w:pPr>
        <w:autoSpaceDE w:val="0"/>
        <w:spacing w:before="156" w:beforeLines="50" w:after="156" w:afterLines="50" w:line="360" w:lineRule="auto"/>
        <w:rPr>
          <w:rFonts w:hint="eastAsia" w:ascii="黑体" w:hAnsi="黑体" w:eastAsia="黑体" w:cs="黑体"/>
          <w:b w:val="0"/>
          <w:bCs w:val="0"/>
          <w:color w:val="4C4C4C"/>
          <w:kern w:val="0"/>
          <w:sz w:val="28"/>
          <w:szCs w:val="28"/>
          <w:shd w:val="clear" w:color="auto" w:fill="FFFFFF"/>
        </w:rPr>
      </w:pPr>
      <w:r>
        <w:rPr>
          <w:rFonts w:hint="eastAsia" w:ascii="黑体" w:hAnsi="黑体" w:eastAsia="黑体" w:cs="黑体"/>
          <w:b w:val="0"/>
          <w:bCs w:val="0"/>
          <w:color w:val="4C4C4C"/>
          <w:kern w:val="0"/>
          <w:sz w:val="28"/>
          <w:szCs w:val="28"/>
        </w:rPr>
        <w:t>2.提高本科毕业生就业竞争力的具体措施</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2.1社会方面提升就业率的建议</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2.1.1  创新创业大潮带来职业发展机会</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近年来，以“互联网+”为代表的新经济蓬勃发展，不仅推动了经济的发展，而且创造了大量的新职业和岗位。“大众创业、万众创新”，国家大力提倡大学生创业，各级政府出台了一系列政策在创业培训、工商登记、税收减免等多方面提供便利，引领和推动大学生创新创业，孵化基地、大学生创业园等也在全国各地兴起。政府的支持使得在社会上掀起了一股创新创业的热潮。</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2.1.2大力宣传毕业生基层就业</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高质量就业导致了高层次的竞争更加激烈，从人性的本能来看也是很合乎情理的事情，大城市就业机会多，薪资高，但是伴随的压力可以想象，相对于大城市就业，相关部门应该积极引导和鼓励我国高校毕业生到基层就业，扩大对于“西部计划、三支一扶”等的宣传力度。随着国家“西部大开发”政策的实施，内陆地区慢慢发展起来，就业岗位空缺多，一切基础设施开始逐步建设，大学生如果能克服困难在那边安居乐业，也会过上美满的生活，另一方面，也会为国家的进一步发展奉献自己的一点力量，实现自身的社会价值。由此看出，只要大学生身怀真才实干，勇敢拼搏，艰苦奋斗，不只是贪图安逸享乐，无论走到哪里都会找到属于自己的位置。同时，随着西部大开放战略的实施，西北地区以及西南地区的也成为毕业生工作地点选择的考虑地区，选择“一带一路”相关地区工作的学生也越来越多，国家号召青年要“回家乡做贡献”、“到祖国最需要的地方去”，选择西部就业以及基层就业的毕业生数量也将逐渐提高。</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2.2学院方面提升就业率的建议</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2.2.1完善就业指导、服务体系，发挥就业导向作用</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color w:val="4C4C4C"/>
          <w:kern w:val="0"/>
          <w:sz w:val="24"/>
          <w:szCs w:val="24"/>
        </w:rPr>
        <w:t xml:space="preserve"> 近年来，各高校已经开始重视对毕业生的就业指导，进行了一系列的职业生涯规划以及就业培训的辅导，但是，目前专业人员的缺乏是就业指导过程中的一个显著问题，像全球职业规划师（GCDF）、职业生涯教练（BCC）、心理咨询师、职业指导师等的专业人员就业教育服务团队并不成熟，我院主要还是以辅导员进行就业指导居多。</w:t>
      </w:r>
      <w:r>
        <w:rPr>
          <w:rFonts w:hint="eastAsia" w:ascii="宋体" w:hAnsi="宋体" w:eastAsia="宋体"/>
          <w:color w:val="4C4C4C"/>
          <w:kern w:val="0"/>
          <w:sz w:val="24"/>
          <w:szCs w:val="24"/>
          <w:vertAlign w:val="superscript"/>
          <w:lang w:val="en-US" w:eastAsia="zh-CN"/>
        </w:rPr>
        <w:t>[2]</w:t>
      </w:r>
      <w:r>
        <w:rPr>
          <w:rFonts w:hint="eastAsia" w:ascii="宋体" w:hAnsi="宋体" w:eastAsia="宋体"/>
          <w:color w:val="4C4C4C"/>
          <w:kern w:val="0"/>
          <w:sz w:val="24"/>
          <w:szCs w:val="24"/>
        </w:rPr>
        <w:t>因此，我们可根据自己的实际情况，邀请专业团队来我院进行讲座或者通过参加专业培训等提高我院辅导员就业指导的能力，通过模拟应聘、主题班会等活动形式，提高大学生求职时应具备的素质和能力。</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同时，可成立一个就业服务中心，从多方面搜集就业信息，及时有效的更新市场需求，第一时间通过新媒体等各种途径（qq、微信公众号、微博、短信、电话、学院网站、班长宿舍通知、班主任定期询问）将招聘信息按时通知给每一位同学，确保信息的准确、及时，不等用人单位找上门来，而是积极主动找寻用人到位的招聘信息并进行投发简历。</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2.2.2注重培养专业技能、提高实践训练环节</w:t>
      </w:r>
    </w:p>
    <w:p>
      <w:pPr>
        <w:keepNext w:val="0"/>
        <w:keepLines w:val="0"/>
        <w:pageBreakBefore w:val="0"/>
        <w:widowControl w:val="0"/>
        <w:kinsoku/>
        <w:wordWrap/>
        <w:overflowPunct/>
        <w:topLinePunct w:val="0"/>
        <w:autoSpaceDE w:val="0"/>
        <w:autoSpaceDN/>
        <w:bidi w:val="0"/>
        <w:adjustRightInd/>
        <w:snapToGrid/>
        <w:spacing w:before="156" w:beforeLines="50" w:after="156" w:afterLines="50" w:line="440" w:lineRule="exact"/>
        <w:ind w:firstLine="240" w:firstLineChars="100"/>
        <w:textAlignment w:val="auto"/>
        <w:outlineLvl w:val="9"/>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color w:val="4C4C4C"/>
          <w:kern w:val="0"/>
          <w:sz w:val="24"/>
          <w:szCs w:val="24"/>
        </w:rPr>
        <w:t>“近朱者赤、近墨者黑”一个好的学习氛围会影响到同学们的学习积极性，因此，我们应该从专业发展前景、专业特色、培养计划等多方面对学生进行教育，培养良好的专业技能，注重扎实的理论基础，让学生能够对本专业具有一定的深入了解，从而培养出具有良好数学素养的优秀人才。</w:t>
      </w:r>
      <w:r>
        <w:rPr>
          <w:rFonts w:hint="eastAsia" w:ascii="宋体" w:hAnsi="宋体" w:eastAsia="宋体"/>
          <w:color w:val="4C4C4C"/>
          <w:kern w:val="0"/>
          <w:sz w:val="24"/>
          <w:szCs w:val="24"/>
          <w:vertAlign w:val="superscript"/>
          <w:lang w:val="en-US" w:eastAsia="zh-CN"/>
        </w:rPr>
        <w:t>[3]</w:t>
      </w:r>
      <w:r>
        <w:rPr>
          <w:rFonts w:hint="eastAsia" w:ascii="宋体" w:hAnsi="宋体" w:eastAsia="宋体"/>
          <w:color w:val="4C4C4C"/>
          <w:kern w:val="0"/>
          <w:sz w:val="24"/>
          <w:szCs w:val="24"/>
        </w:rPr>
        <w:t>同时，也要鼓励有继续进行深造愿望的学生，充分调动学生的积极性，以优秀的同学来带动良好的学习氛围，激励其他的同学在大学四年能够认真学习，扩展知识面；参加学生会、社团等组织，交些志同道合的朋友；参加各种竞赛活动，锻炼实践能力和创新设计能力，忙忙碌碌的度过四年而不是在宿舍“葛优瘫”浑浑噩噩。</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实践环节也是提高我院学生就业竞争力的一个重要方面，我院目前开展了“从师从业”技能大赛、“师范生教师专业能力培养训练”等活动来培养学生的板书与规范汉字书写、信息化教学、班级活动组织与管理项目活动等技能。从应届毕业生就业数据分析可以看出，我院毕业生以初高中老师居多，因此，可以开设一些由学生试讲初高中知识的比赛，来复习巩固学生的初高中知识，以便就业后能快速掌握教学知识，提高工作能力。同时，也可以积极宣传组织就业活动，例如组织青年志愿者活动、扶贫下乡、勤工俭学、支教等提高学生的社会实践能力，拓展视野、锻炼胆识，将理论知识与社会实践有效的结合起来，全方位的了解接触社会。</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2.2.3发挥校友资源的开拓作用，完善升学指导体系</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我们可以建立“师大数学校友”qq群或微信群，加强校友之间的联系。对于已就业的学长学姐可将应聘技巧等分享给应届毕业生，既引来了校友单位，又推出去了应届生，大力拓展了就业市场。进入高校继续深造的学长学姐能够及时分享资料来源、导师信息、复习技巧、面试着装、考场礼仪等帮助学弟学妹顺利的进入心仪高校读研。</w:t>
      </w:r>
    </w:p>
    <w:p>
      <w:pPr>
        <w:autoSpaceDE w:val="0"/>
        <w:spacing w:before="156" w:beforeLines="50" w:after="156" w:afterLines="5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2.3个人方面提高就业竞争力的建议</w:t>
      </w:r>
    </w:p>
    <w:p>
      <w:pPr>
        <w:autoSpaceDE w:val="0"/>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2.3.1合理的职业生涯规划</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通过SPSS对问卷数据中自我了解程度和对未来做相关规划做交叉分析，根据表1-5发现卡方检验Sig值为0.000，即二者之间通过P检验，具有显著性差异；R值大于0.8，两者呈高度正相关。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sz w:val="24"/>
          <w:szCs w:val="24"/>
        </w:rPr>
      </w:pPr>
    </w:p>
    <w:tbl>
      <w:tblPr>
        <w:tblStyle w:val="5"/>
        <w:tblW w:w="5034" w:type="dxa"/>
        <w:tblInd w:w="243" w:type="dxa"/>
        <w:tblLayout w:type="fixed"/>
        <w:tblCellMar>
          <w:top w:w="0" w:type="dxa"/>
          <w:left w:w="0" w:type="dxa"/>
          <w:bottom w:w="0" w:type="dxa"/>
          <w:right w:w="0" w:type="dxa"/>
        </w:tblCellMar>
      </w:tblPr>
      <w:tblGrid>
        <w:gridCol w:w="1560"/>
        <w:gridCol w:w="1010"/>
        <w:gridCol w:w="1009"/>
        <w:gridCol w:w="1455"/>
      </w:tblGrid>
      <w:tr>
        <w:tblPrEx>
          <w:tblLayout w:type="fixed"/>
          <w:tblCellMar>
            <w:top w:w="0" w:type="dxa"/>
            <w:left w:w="0" w:type="dxa"/>
            <w:bottom w:w="0" w:type="dxa"/>
            <w:right w:w="0" w:type="dxa"/>
          </w:tblCellMar>
        </w:tblPrEx>
        <w:trPr>
          <w:cantSplit/>
        </w:trPr>
        <w:tc>
          <w:tcPr>
            <w:tcW w:w="5034" w:type="dxa"/>
            <w:gridSpan w:val="4"/>
            <w:tcBorders>
              <w:top w:val="nil"/>
              <w:left w:val="nil"/>
              <w:bottom w:val="nil"/>
              <w:right w:val="nil"/>
            </w:tcBorders>
            <w:shd w:val="clear" w:color="auto" w:fill="FFFFFF"/>
            <w:vAlign w:val="center"/>
          </w:tcPr>
          <w:p>
            <w:pPr>
              <w:spacing w:line="320" w:lineRule="atLeast"/>
              <w:ind w:left="60" w:right="60"/>
              <w:jc w:val="center"/>
              <w:rPr>
                <w:rFonts w:hint="eastAsia" w:ascii="宋体" w:hAnsi="宋体" w:eastAsia="宋体"/>
                <w:sz w:val="24"/>
                <w:szCs w:val="24"/>
              </w:rPr>
            </w:pPr>
            <w:r>
              <w:rPr>
                <w:rFonts w:hint="eastAsia" w:ascii="宋体" w:hAnsi="宋体" w:eastAsia="宋体"/>
                <w:b w:val="0"/>
                <w:bCs w:val="0"/>
                <w:sz w:val="24"/>
                <w:szCs w:val="24"/>
              </w:rPr>
              <w:t>表1-5（1）</w:t>
            </w:r>
            <w:r>
              <w:rPr>
                <w:rFonts w:hint="eastAsia" w:ascii="宋体" w:hAnsi="宋体" w:eastAsia="宋体"/>
                <w:b w:val="0"/>
                <w:bCs w:val="0"/>
                <w:sz w:val="24"/>
                <w:szCs w:val="24"/>
              </w:rPr>
              <w:tab/>
            </w:r>
            <w:r>
              <w:rPr>
                <w:rFonts w:hint="eastAsia" w:ascii="宋体" w:hAnsi="宋体" w:eastAsia="宋体"/>
                <w:b w:val="0"/>
                <w:bCs w:val="0"/>
                <w:sz w:val="24"/>
                <w:szCs w:val="24"/>
              </w:rPr>
              <w:t>卡方检验</w:t>
            </w:r>
          </w:p>
        </w:tc>
      </w:tr>
      <w:tr>
        <w:tblPrEx>
          <w:tblLayout w:type="fixed"/>
          <w:tblCellMar>
            <w:top w:w="0" w:type="dxa"/>
            <w:left w:w="0" w:type="dxa"/>
            <w:bottom w:w="0" w:type="dxa"/>
            <w:right w:w="0" w:type="dxa"/>
          </w:tblCellMar>
        </w:tblPrEx>
        <w:trPr>
          <w:cantSplit/>
        </w:trPr>
        <w:tc>
          <w:tcPr>
            <w:tcW w:w="1560" w:type="dxa"/>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hint="eastAsia" w:ascii="宋体" w:hAnsi="宋体" w:eastAsia="宋体"/>
                <w:sz w:val="24"/>
                <w:szCs w:val="24"/>
              </w:rPr>
            </w:pPr>
          </w:p>
        </w:tc>
        <w:tc>
          <w:tcPr>
            <w:tcW w:w="1010"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值</w:t>
            </w:r>
          </w:p>
        </w:tc>
        <w:tc>
          <w:tcPr>
            <w:tcW w:w="1009"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df</w:t>
            </w:r>
          </w:p>
        </w:tc>
        <w:tc>
          <w:tcPr>
            <w:tcW w:w="1455" w:type="dxa"/>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渐进 Sig. (双侧)</w:t>
            </w:r>
          </w:p>
        </w:tc>
      </w:tr>
      <w:tr>
        <w:tblPrEx>
          <w:tblLayout w:type="fixed"/>
          <w:tblCellMar>
            <w:top w:w="0" w:type="dxa"/>
            <w:left w:w="0" w:type="dxa"/>
            <w:bottom w:w="0" w:type="dxa"/>
            <w:right w:w="0" w:type="dxa"/>
          </w:tblCellMar>
        </w:tblPrEx>
        <w:trPr>
          <w:cantSplit/>
        </w:trPr>
        <w:tc>
          <w:tcPr>
            <w:tcW w:w="1560" w:type="dxa"/>
            <w:tcBorders>
              <w:top w:val="single" w:color="000000" w:sz="18" w:space="0"/>
              <w:left w:val="single" w:color="000000" w:sz="18" w:space="0"/>
              <w:bottom w:val="nil"/>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Pearson 卡方</w:t>
            </w:r>
          </w:p>
        </w:tc>
        <w:tc>
          <w:tcPr>
            <w:tcW w:w="1010"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26.178</w:t>
            </w:r>
            <w:r>
              <w:rPr>
                <w:rFonts w:hint="eastAsia" w:ascii="宋体" w:hAnsi="宋体" w:eastAsia="宋体"/>
                <w:sz w:val="24"/>
                <w:szCs w:val="24"/>
                <w:vertAlign w:val="superscript"/>
              </w:rPr>
              <w:t>a</w:t>
            </w:r>
          </w:p>
        </w:tc>
        <w:tc>
          <w:tcPr>
            <w:tcW w:w="1009"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8</w:t>
            </w:r>
          </w:p>
        </w:tc>
        <w:tc>
          <w:tcPr>
            <w:tcW w:w="1455"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.001</w:t>
            </w:r>
          </w:p>
        </w:tc>
      </w:tr>
      <w:tr>
        <w:tblPrEx>
          <w:tblLayout w:type="fixed"/>
          <w:tblCellMar>
            <w:top w:w="0" w:type="dxa"/>
            <w:left w:w="0" w:type="dxa"/>
            <w:bottom w:w="0" w:type="dxa"/>
            <w:right w:w="0" w:type="dxa"/>
          </w:tblCellMar>
        </w:tblPrEx>
        <w:trPr>
          <w:cantSplit/>
        </w:trPr>
        <w:tc>
          <w:tcPr>
            <w:tcW w:w="1560" w:type="dxa"/>
            <w:tcBorders>
              <w:top w:val="nil"/>
              <w:left w:val="single" w:color="000000" w:sz="18" w:space="0"/>
              <w:bottom w:val="nil"/>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似然比</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23.026</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8</w:t>
            </w:r>
          </w:p>
        </w:tc>
        <w:tc>
          <w:tcPr>
            <w:tcW w:w="1455" w:type="dxa"/>
            <w:tcBorders>
              <w:top w:val="nil"/>
              <w:left w:val="nil"/>
              <w:bottom w:val="nil"/>
              <w:right w:val="single" w:color="000000" w:sz="1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.003</w:t>
            </w:r>
          </w:p>
        </w:tc>
      </w:tr>
      <w:tr>
        <w:tblPrEx>
          <w:tblLayout w:type="fixed"/>
          <w:tblCellMar>
            <w:top w:w="0" w:type="dxa"/>
            <w:left w:w="0" w:type="dxa"/>
            <w:bottom w:w="0" w:type="dxa"/>
            <w:right w:w="0" w:type="dxa"/>
          </w:tblCellMar>
        </w:tblPrEx>
        <w:trPr>
          <w:cantSplit/>
        </w:trPr>
        <w:tc>
          <w:tcPr>
            <w:tcW w:w="1560" w:type="dxa"/>
            <w:tcBorders>
              <w:top w:val="nil"/>
              <w:left w:val="single" w:color="000000" w:sz="18" w:space="0"/>
              <w:bottom w:val="nil"/>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线性和线性组合</w:t>
            </w:r>
          </w:p>
        </w:tc>
        <w:tc>
          <w:tcPr>
            <w:tcW w:w="1010"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1.418</w:t>
            </w:r>
          </w:p>
        </w:tc>
        <w:tc>
          <w:tcPr>
            <w:tcW w:w="1009"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1</w:t>
            </w:r>
          </w:p>
        </w:tc>
        <w:tc>
          <w:tcPr>
            <w:tcW w:w="1455" w:type="dxa"/>
            <w:tcBorders>
              <w:top w:val="nil"/>
              <w:left w:val="nil"/>
              <w:bottom w:val="nil"/>
              <w:right w:val="single" w:color="000000" w:sz="1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.234</w:t>
            </w:r>
          </w:p>
        </w:tc>
      </w:tr>
      <w:tr>
        <w:tblPrEx>
          <w:tblLayout w:type="fixed"/>
          <w:tblCellMar>
            <w:top w:w="0" w:type="dxa"/>
            <w:left w:w="0" w:type="dxa"/>
            <w:bottom w:w="0" w:type="dxa"/>
            <w:right w:w="0" w:type="dxa"/>
          </w:tblCellMar>
        </w:tblPrEx>
        <w:trPr>
          <w:cantSplit/>
        </w:trPr>
        <w:tc>
          <w:tcPr>
            <w:tcW w:w="1560" w:type="dxa"/>
            <w:tcBorders>
              <w:top w:val="nil"/>
              <w:left w:val="single" w:color="000000" w:sz="18" w:space="0"/>
              <w:bottom w:val="single" w:color="000000" w:sz="18" w:space="0"/>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有效案例中的 N</w:t>
            </w:r>
          </w:p>
        </w:tc>
        <w:tc>
          <w:tcPr>
            <w:tcW w:w="1010"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215</w:t>
            </w:r>
          </w:p>
        </w:tc>
        <w:tc>
          <w:tcPr>
            <w:tcW w:w="1009" w:type="dxa"/>
            <w:tcBorders>
              <w:top w:val="nil"/>
              <w:left w:val="nil"/>
              <w:bottom w:val="single" w:color="000000" w:sz="18" w:space="0"/>
              <w:right w:val="single" w:color="000000" w:sz="8" w:space="0"/>
            </w:tcBorders>
            <w:shd w:val="clear" w:color="auto" w:fill="FFFFFF"/>
            <w:vAlign w:val="center"/>
          </w:tcPr>
          <w:p>
            <w:pPr>
              <w:jc w:val="center"/>
              <w:rPr>
                <w:rFonts w:hint="eastAsia" w:ascii="宋体" w:hAnsi="宋体" w:eastAsia="宋体"/>
                <w:sz w:val="24"/>
                <w:szCs w:val="24"/>
              </w:rPr>
            </w:pPr>
          </w:p>
        </w:tc>
        <w:tc>
          <w:tcPr>
            <w:tcW w:w="1455" w:type="dxa"/>
            <w:tcBorders>
              <w:top w:val="nil"/>
              <w:left w:val="nil"/>
              <w:bottom w:val="single" w:color="000000" w:sz="18" w:space="0"/>
              <w:right w:val="single" w:color="000000" w:sz="18" w:space="0"/>
            </w:tcBorders>
            <w:shd w:val="clear" w:color="auto" w:fill="FFFFFF"/>
            <w:vAlign w:val="center"/>
          </w:tcPr>
          <w:p>
            <w:pPr>
              <w:jc w:val="center"/>
              <w:rPr>
                <w:rFonts w:hint="eastAsia" w:ascii="宋体" w:hAnsi="宋体" w:eastAsia="宋体"/>
                <w:sz w:val="24"/>
                <w:szCs w:val="24"/>
              </w:rPr>
            </w:pPr>
          </w:p>
        </w:tc>
      </w:tr>
      <w:tr>
        <w:tblPrEx>
          <w:tblLayout w:type="fixed"/>
          <w:tblCellMar>
            <w:top w:w="0" w:type="dxa"/>
            <w:left w:w="0" w:type="dxa"/>
            <w:bottom w:w="0" w:type="dxa"/>
            <w:right w:w="0" w:type="dxa"/>
          </w:tblCellMar>
        </w:tblPrEx>
        <w:trPr>
          <w:cantSplit/>
        </w:trPr>
        <w:tc>
          <w:tcPr>
            <w:tcW w:w="5034" w:type="dxa"/>
            <w:gridSpan w:val="4"/>
            <w:tcBorders>
              <w:top w:val="nil"/>
              <w:left w:val="nil"/>
              <w:bottom w:val="nil"/>
              <w:right w:val="nil"/>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a. 9 单元格(50.0%) 的期望计数少于 5。最小期望计数为 .14。</w:t>
            </w:r>
          </w:p>
          <w:p>
            <w:pPr>
              <w:spacing w:line="320" w:lineRule="atLeast"/>
              <w:ind w:left="60" w:right="60"/>
              <w:rPr>
                <w:rFonts w:hint="eastAsia" w:ascii="宋体" w:hAnsi="宋体" w:eastAsia="宋体"/>
                <w:sz w:val="24"/>
                <w:szCs w:val="24"/>
              </w:rPr>
            </w:pPr>
          </w:p>
        </w:tc>
      </w:tr>
    </w:tbl>
    <w:p>
      <w:pPr>
        <w:spacing w:line="360" w:lineRule="auto"/>
        <w:rPr>
          <w:rFonts w:hint="eastAsia" w:ascii="宋体" w:hAnsi="宋体" w:eastAsia="宋体"/>
          <w:sz w:val="24"/>
          <w:szCs w:val="24"/>
        </w:rPr>
      </w:pPr>
    </w:p>
    <w:tbl>
      <w:tblPr>
        <w:tblStyle w:val="5"/>
        <w:tblW w:w="5940" w:type="dxa"/>
        <w:tblInd w:w="243" w:type="dxa"/>
        <w:tblLayout w:type="fixed"/>
        <w:tblCellMar>
          <w:top w:w="0" w:type="dxa"/>
          <w:left w:w="0" w:type="dxa"/>
          <w:bottom w:w="0" w:type="dxa"/>
          <w:right w:w="0" w:type="dxa"/>
        </w:tblCellMar>
      </w:tblPr>
      <w:tblGrid>
        <w:gridCol w:w="673"/>
        <w:gridCol w:w="1420"/>
        <w:gridCol w:w="818"/>
        <w:gridCol w:w="1174"/>
        <w:gridCol w:w="885"/>
        <w:gridCol w:w="970"/>
      </w:tblGrid>
      <w:tr>
        <w:tblPrEx>
          <w:tblLayout w:type="fixed"/>
          <w:tblCellMar>
            <w:top w:w="0" w:type="dxa"/>
            <w:left w:w="0" w:type="dxa"/>
            <w:bottom w:w="0" w:type="dxa"/>
            <w:right w:w="0" w:type="dxa"/>
          </w:tblCellMar>
        </w:tblPrEx>
        <w:trPr>
          <w:cantSplit/>
          <w:trHeight w:val="304" w:hRule="atLeast"/>
        </w:trPr>
        <w:tc>
          <w:tcPr>
            <w:tcW w:w="5940" w:type="dxa"/>
            <w:gridSpan w:val="6"/>
            <w:tcBorders>
              <w:top w:val="nil"/>
              <w:left w:val="nil"/>
              <w:bottom w:val="nil"/>
              <w:right w:val="nil"/>
            </w:tcBorders>
            <w:shd w:val="clear" w:color="auto" w:fill="FFFFFF"/>
            <w:vAlign w:val="center"/>
          </w:tcPr>
          <w:p>
            <w:pPr>
              <w:spacing w:line="320" w:lineRule="atLeast"/>
              <w:ind w:left="60" w:right="60"/>
              <w:jc w:val="center"/>
              <w:rPr>
                <w:rFonts w:hint="eastAsia" w:ascii="宋体" w:hAnsi="宋体" w:eastAsia="宋体"/>
                <w:sz w:val="24"/>
                <w:szCs w:val="24"/>
              </w:rPr>
            </w:pPr>
            <w:r>
              <w:rPr>
                <w:rFonts w:hint="eastAsia" w:ascii="宋体" w:hAnsi="宋体" w:eastAsia="宋体"/>
                <w:b w:val="0"/>
                <w:bCs w:val="0"/>
                <w:sz w:val="24"/>
                <w:szCs w:val="24"/>
              </w:rPr>
              <w:t>表1-5（2）</w:t>
            </w:r>
            <w:r>
              <w:rPr>
                <w:rFonts w:hint="eastAsia" w:ascii="宋体" w:hAnsi="宋体" w:eastAsia="宋体"/>
                <w:b w:val="0"/>
                <w:bCs w:val="0"/>
                <w:sz w:val="24"/>
                <w:szCs w:val="24"/>
              </w:rPr>
              <w:tab/>
            </w:r>
            <w:r>
              <w:rPr>
                <w:rFonts w:hint="eastAsia" w:ascii="宋体" w:hAnsi="宋体" w:eastAsia="宋体"/>
                <w:b w:val="0"/>
                <w:bCs w:val="0"/>
                <w:sz w:val="24"/>
                <w:szCs w:val="24"/>
              </w:rPr>
              <w:t>对称度量</w:t>
            </w:r>
          </w:p>
        </w:tc>
      </w:tr>
      <w:tr>
        <w:tblPrEx>
          <w:tblLayout w:type="fixed"/>
          <w:tblCellMar>
            <w:top w:w="0" w:type="dxa"/>
            <w:left w:w="0" w:type="dxa"/>
            <w:bottom w:w="0" w:type="dxa"/>
            <w:right w:w="0" w:type="dxa"/>
          </w:tblCellMar>
        </w:tblPrEx>
        <w:trPr>
          <w:cantSplit/>
          <w:trHeight w:val="645" w:hRule="atLeast"/>
        </w:trPr>
        <w:tc>
          <w:tcPr>
            <w:tcW w:w="2093" w:type="dxa"/>
            <w:gridSpan w:val="2"/>
            <w:tcBorders>
              <w:top w:val="single" w:color="000000" w:sz="18" w:space="0"/>
              <w:left w:val="single" w:color="000000" w:sz="18" w:space="0"/>
              <w:bottom w:val="single" w:color="000000" w:sz="18" w:space="0"/>
              <w:right w:val="single" w:color="000000" w:sz="18" w:space="0"/>
            </w:tcBorders>
            <w:shd w:val="clear" w:color="auto" w:fill="FFFFFF"/>
            <w:vAlign w:val="center"/>
          </w:tcPr>
          <w:p>
            <w:pPr>
              <w:jc w:val="center"/>
              <w:rPr>
                <w:rFonts w:hint="eastAsia" w:ascii="宋体" w:hAnsi="宋体" w:eastAsia="宋体"/>
                <w:sz w:val="24"/>
                <w:szCs w:val="24"/>
              </w:rPr>
            </w:pPr>
          </w:p>
        </w:tc>
        <w:tc>
          <w:tcPr>
            <w:tcW w:w="818"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值</w:t>
            </w:r>
          </w:p>
        </w:tc>
        <w:tc>
          <w:tcPr>
            <w:tcW w:w="1174"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渐进标准误差</w:t>
            </w:r>
            <w:r>
              <w:rPr>
                <w:rFonts w:hint="eastAsia" w:ascii="宋体" w:hAnsi="宋体" w:eastAsia="宋体"/>
                <w:sz w:val="24"/>
                <w:szCs w:val="24"/>
                <w:vertAlign w:val="superscript"/>
              </w:rPr>
              <w:t>a</w:t>
            </w:r>
          </w:p>
        </w:tc>
        <w:tc>
          <w:tcPr>
            <w:tcW w:w="885" w:type="dxa"/>
            <w:tcBorders>
              <w:top w:val="single" w:color="000000" w:sz="18" w:space="0"/>
              <w:left w:val="nil"/>
              <w:bottom w:val="single" w:color="000000" w:sz="18" w:space="0"/>
              <w:right w:val="single" w:color="000000" w:sz="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近似值 T</w:t>
            </w:r>
            <w:r>
              <w:rPr>
                <w:rFonts w:hint="eastAsia" w:ascii="宋体" w:hAnsi="宋体" w:eastAsia="宋体"/>
                <w:sz w:val="24"/>
                <w:szCs w:val="24"/>
                <w:vertAlign w:val="superscript"/>
              </w:rPr>
              <w:t>b</w:t>
            </w:r>
          </w:p>
        </w:tc>
        <w:tc>
          <w:tcPr>
            <w:tcW w:w="970" w:type="dxa"/>
            <w:tcBorders>
              <w:top w:val="single" w:color="000000" w:sz="18" w:space="0"/>
              <w:left w:val="nil"/>
              <w:bottom w:val="single" w:color="000000" w:sz="18" w:space="0"/>
              <w:right w:val="single" w:color="000000" w:sz="18" w:space="0"/>
            </w:tcBorders>
            <w:shd w:val="clear" w:color="auto" w:fill="FFFFFF"/>
            <w:vAlign w:val="bottom"/>
          </w:tcPr>
          <w:p>
            <w:pPr>
              <w:spacing w:line="320" w:lineRule="atLeast"/>
              <w:ind w:left="60" w:right="60"/>
              <w:jc w:val="center"/>
              <w:rPr>
                <w:rFonts w:hint="eastAsia" w:ascii="宋体" w:hAnsi="宋体" w:eastAsia="宋体"/>
                <w:sz w:val="24"/>
                <w:szCs w:val="24"/>
              </w:rPr>
            </w:pPr>
            <w:r>
              <w:rPr>
                <w:rFonts w:hint="eastAsia" w:ascii="宋体" w:hAnsi="宋体" w:eastAsia="宋体"/>
                <w:sz w:val="24"/>
                <w:szCs w:val="24"/>
              </w:rPr>
              <w:t>近似值 Sig.</w:t>
            </w:r>
          </w:p>
        </w:tc>
      </w:tr>
      <w:tr>
        <w:tblPrEx>
          <w:tblLayout w:type="fixed"/>
          <w:tblCellMar>
            <w:top w:w="0" w:type="dxa"/>
            <w:left w:w="0" w:type="dxa"/>
            <w:bottom w:w="0" w:type="dxa"/>
            <w:right w:w="0" w:type="dxa"/>
          </w:tblCellMar>
        </w:tblPrEx>
        <w:trPr>
          <w:cantSplit/>
          <w:trHeight w:val="645" w:hRule="atLeast"/>
        </w:trPr>
        <w:tc>
          <w:tcPr>
            <w:tcW w:w="673" w:type="dxa"/>
            <w:tcBorders>
              <w:top w:val="single" w:color="000000" w:sz="18" w:space="0"/>
              <w:left w:val="single" w:color="000000" w:sz="18" w:space="0"/>
              <w:bottom w:val="nil"/>
              <w:right w:val="nil"/>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按区间</w:t>
            </w:r>
          </w:p>
        </w:tc>
        <w:tc>
          <w:tcPr>
            <w:tcW w:w="1420" w:type="dxa"/>
            <w:tcBorders>
              <w:top w:val="single" w:color="000000" w:sz="18" w:space="0"/>
              <w:left w:val="nil"/>
              <w:bottom w:val="nil"/>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Pearson 的 R</w:t>
            </w:r>
          </w:p>
        </w:tc>
        <w:tc>
          <w:tcPr>
            <w:tcW w:w="818"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.081</w:t>
            </w:r>
          </w:p>
        </w:tc>
        <w:tc>
          <w:tcPr>
            <w:tcW w:w="1174"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.083</w:t>
            </w:r>
          </w:p>
        </w:tc>
        <w:tc>
          <w:tcPr>
            <w:tcW w:w="885" w:type="dxa"/>
            <w:tcBorders>
              <w:top w:val="single" w:color="000000" w:sz="18" w:space="0"/>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1.192</w:t>
            </w:r>
          </w:p>
        </w:tc>
        <w:tc>
          <w:tcPr>
            <w:tcW w:w="970" w:type="dxa"/>
            <w:tcBorders>
              <w:top w:val="single" w:color="000000" w:sz="18" w:space="0"/>
              <w:left w:val="nil"/>
              <w:bottom w:val="nil"/>
              <w:right w:val="single" w:color="000000" w:sz="1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.235</w:t>
            </w:r>
            <w:r>
              <w:rPr>
                <w:rFonts w:hint="eastAsia" w:ascii="宋体" w:hAnsi="宋体" w:eastAsia="宋体"/>
                <w:sz w:val="24"/>
                <w:szCs w:val="24"/>
                <w:vertAlign w:val="superscript"/>
              </w:rPr>
              <w:t>c</w:t>
            </w:r>
          </w:p>
        </w:tc>
      </w:tr>
      <w:tr>
        <w:tblPrEx>
          <w:tblLayout w:type="fixed"/>
          <w:tblCellMar>
            <w:top w:w="0" w:type="dxa"/>
            <w:left w:w="0" w:type="dxa"/>
            <w:bottom w:w="0" w:type="dxa"/>
            <w:right w:w="0" w:type="dxa"/>
          </w:tblCellMar>
        </w:tblPrEx>
        <w:trPr>
          <w:cantSplit/>
          <w:trHeight w:val="607" w:hRule="atLeast"/>
        </w:trPr>
        <w:tc>
          <w:tcPr>
            <w:tcW w:w="673" w:type="dxa"/>
            <w:tcBorders>
              <w:top w:val="nil"/>
              <w:left w:val="single" w:color="000000" w:sz="18" w:space="0"/>
              <w:bottom w:val="nil"/>
              <w:right w:val="nil"/>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按顺序</w:t>
            </w:r>
          </w:p>
        </w:tc>
        <w:tc>
          <w:tcPr>
            <w:tcW w:w="1420" w:type="dxa"/>
            <w:tcBorders>
              <w:top w:val="nil"/>
              <w:left w:val="nil"/>
              <w:bottom w:val="nil"/>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Spearman 相关性</w:t>
            </w:r>
          </w:p>
        </w:tc>
        <w:tc>
          <w:tcPr>
            <w:tcW w:w="818"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.023</w:t>
            </w:r>
          </w:p>
        </w:tc>
        <w:tc>
          <w:tcPr>
            <w:tcW w:w="1174"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.082</w:t>
            </w:r>
          </w:p>
        </w:tc>
        <w:tc>
          <w:tcPr>
            <w:tcW w:w="885" w:type="dxa"/>
            <w:tcBorders>
              <w:top w:val="nil"/>
              <w:left w:val="nil"/>
              <w:bottom w:val="nil"/>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.332</w:t>
            </w:r>
          </w:p>
        </w:tc>
        <w:tc>
          <w:tcPr>
            <w:tcW w:w="970" w:type="dxa"/>
            <w:tcBorders>
              <w:top w:val="nil"/>
              <w:left w:val="nil"/>
              <w:bottom w:val="nil"/>
              <w:right w:val="single" w:color="000000" w:sz="1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.740</w:t>
            </w:r>
            <w:r>
              <w:rPr>
                <w:rFonts w:hint="eastAsia" w:ascii="宋体" w:hAnsi="宋体" w:eastAsia="宋体"/>
                <w:sz w:val="24"/>
                <w:szCs w:val="24"/>
                <w:vertAlign w:val="superscript"/>
              </w:rPr>
              <w:t>c</w:t>
            </w:r>
          </w:p>
        </w:tc>
      </w:tr>
      <w:tr>
        <w:tblPrEx>
          <w:tblLayout w:type="fixed"/>
          <w:tblCellMar>
            <w:top w:w="0" w:type="dxa"/>
            <w:left w:w="0" w:type="dxa"/>
            <w:bottom w:w="0" w:type="dxa"/>
            <w:right w:w="0" w:type="dxa"/>
          </w:tblCellMar>
        </w:tblPrEx>
        <w:trPr>
          <w:cantSplit/>
          <w:trHeight w:val="592" w:hRule="atLeast"/>
        </w:trPr>
        <w:tc>
          <w:tcPr>
            <w:tcW w:w="2093" w:type="dxa"/>
            <w:gridSpan w:val="2"/>
            <w:tcBorders>
              <w:top w:val="nil"/>
              <w:left w:val="single" w:color="000000" w:sz="18" w:space="0"/>
              <w:bottom w:val="single" w:color="000000" w:sz="18" w:space="0"/>
              <w:right w:val="single" w:color="000000" w:sz="18" w:space="0"/>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有效案例中的 N</w:t>
            </w:r>
          </w:p>
        </w:tc>
        <w:tc>
          <w:tcPr>
            <w:tcW w:w="818" w:type="dxa"/>
            <w:tcBorders>
              <w:top w:val="nil"/>
              <w:left w:val="nil"/>
              <w:bottom w:val="single" w:color="000000" w:sz="18" w:space="0"/>
              <w:right w:val="single" w:color="000000" w:sz="8" w:space="0"/>
            </w:tcBorders>
            <w:shd w:val="clear" w:color="auto" w:fill="FFFFFF"/>
          </w:tcPr>
          <w:p>
            <w:pPr>
              <w:spacing w:line="320" w:lineRule="atLeast"/>
              <w:ind w:left="60" w:right="60"/>
              <w:jc w:val="right"/>
              <w:rPr>
                <w:rFonts w:hint="eastAsia" w:ascii="宋体" w:hAnsi="宋体" w:eastAsia="宋体"/>
                <w:sz w:val="24"/>
                <w:szCs w:val="24"/>
              </w:rPr>
            </w:pPr>
            <w:r>
              <w:rPr>
                <w:rFonts w:hint="eastAsia" w:ascii="宋体" w:hAnsi="宋体" w:eastAsia="宋体"/>
                <w:sz w:val="24"/>
                <w:szCs w:val="24"/>
              </w:rPr>
              <w:t>215</w:t>
            </w:r>
          </w:p>
        </w:tc>
        <w:tc>
          <w:tcPr>
            <w:tcW w:w="1174" w:type="dxa"/>
            <w:tcBorders>
              <w:top w:val="nil"/>
              <w:left w:val="nil"/>
              <w:bottom w:val="single" w:color="000000" w:sz="18" w:space="0"/>
              <w:right w:val="single" w:color="000000" w:sz="8" w:space="0"/>
            </w:tcBorders>
            <w:shd w:val="clear" w:color="auto" w:fill="FFFFFF"/>
            <w:vAlign w:val="center"/>
          </w:tcPr>
          <w:p>
            <w:pPr>
              <w:jc w:val="center"/>
              <w:rPr>
                <w:rFonts w:hint="eastAsia" w:ascii="宋体" w:hAnsi="宋体" w:eastAsia="宋体"/>
                <w:sz w:val="24"/>
                <w:szCs w:val="24"/>
              </w:rPr>
            </w:pPr>
          </w:p>
        </w:tc>
        <w:tc>
          <w:tcPr>
            <w:tcW w:w="885" w:type="dxa"/>
            <w:tcBorders>
              <w:top w:val="nil"/>
              <w:left w:val="nil"/>
              <w:bottom w:val="single" w:color="000000" w:sz="18" w:space="0"/>
              <w:right w:val="single" w:color="000000" w:sz="8" w:space="0"/>
            </w:tcBorders>
            <w:shd w:val="clear" w:color="auto" w:fill="FFFFFF"/>
            <w:vAlign w:val="center"/>
          </w:tcPr>
          <w:p>
            <w:pPr>
              <w:jc w:val="center"/>
              <w:rPr>
                <w:rFonts w:hint="eastAsia" w:ascii="宋体" w:hAnsi="宋体" w:eastAsia="宋体"/>
                <w:sz w:val="24"/>
                <w:szCs w:val="24"/>
              </w:rPr>
            </w:pPr>
          </w:p>
        </w:tc>
        <w:tc>
          <w:tcPr>
            <w:tcW w:w="970" w:type="dxa"/>
            <w:tcBorders>
              <w:top w:val="nil"/>
              <w:left w:val="nil"/>
              <w:bottom w:val="single" w:color="000000" w:sz="18" w:space="0"/>
              <w:right w:val="single" w:color="000000" w:sz="18" w:space="0"/>
            </w:tcBorders>
            <w:shd w:val="clear" w:color="auto" w:fill="FFFFFF"/>
            <w:vAlign w:val="center"/>
          </w:tcPr>
          <w:p>
            <w:pPr>
              <w:jc w:val="center"/>
              <w:rPr>
                <w:rFonts w:hint="eastAsia" w:ascii="宋体" w:hAnsi="宋体" w:eastAsia="宋体"/>
                <w:sz w:val="24"/>
                <w:szCs w:val="24"/>
              </w:rPr>
            </w:pPr>
          </w:p>
        </w:tc>
      </w:tr>
      <w:tr>
        <w:tblPrEx>
          <w:tblLayout w:type="fixed"/>
          <w:tblCellMar>
            <w:top w:w="0" w:type="dxa"/>
            <w:left w:w="0" w:type="dxa"/>
            <w:bottom w:w="0" w:type="dxa"/>
            <w:right w:w="0" w:type="dxa"/>
          </w:tblCellMar>
        </w:tblPrEx>
        <w:trPr>
          <w:cantSplit/>
          <w:trHeight w:val="1251" w:hRule="atLeast"/>
        </w:trPr>
        <w:tc>
          <w:tcPr>
            <w:tcW w:w="5940" w:type="dxa"/>
            <w:gridSpan w:val="6"/>
            <w:tcBorders>
              <w:top w:val="nil"/>
              <w:left w:val="nil"/>
              <w:bottom w:val="nil"/>
              <w:right w:val="nil"/>
            </w:tcBorders>
            <w:shd w:val="clear" w:color="auto" w:fill="FFFFFF"/>
          </w:tcPr>
          <w:p>
            <w:pPr>
              <w:spacing w:line="320" w:lineRule="atLeast"/>
              <w:ind w:left="60" w:right="60"/>
              <w:rPr>
                <w:rFonts w:hint="eastAsia" w:ascii="宋体" w:hAnsi="宋体" w:eastAsia="宋体"/>
                <w:sz w:val="24"/>
                <w:szCs w:val="24"/>
              </w:rPr>
            </w:pPr>
            <w:r>
              <w:rPr>
                <w:rFonts w:hint="eastAsia" w:ascii="宋体" w:hAnsi="宋体" w:eastAsia="宋体"/>
                <w:sz w:val="24"/>
                <w:szCs w:val="24"/>
              </w:rPr>
              <w:t>a. 不假定零假设。</w:t>
            </w:r>
          </w:p>
          <w:p>
            <w:pPr>
              <w:spacing w:line="320" w:lineRule="atLeast"/>
              <w:ind w:left="60" w:right="60"/>
              <w:rPr>
                <w:rFonts w:hint="eastAsia" w:ascii="宋体" w:hAnsi="宋体" w:eastAsia="宋体"/>
                <w:sz w:val="24"/>
                <w:szCs w:val="24"/>
              </w:rPr>
            </w:pPr>
            <w:r>
              <w:rPr>
                <w:rFonts w:hint="eastAsia" w:ascii="宋体" w:hAnsi="宋体" w:eastAsia="宋体"/>
                <w:sz w:val="24"/>
                <w:szCs w:val="24"/>
              </w:rPr>
              <w:t>b. 使用渐进标准误差假定零假设。</w:t>
            </w:r>
          </w:p>
          <w:p>
            <w:pPr>
              <w:spacing w:line="320" w:lineRule="atLeast"/>
              <w:ind w:left="60" w:right="60"/>
              <w:rPr>
                <w:rFonts w:hint="eastAsia" w:ascii="宋体" w:hAnsi="宋体" w:eastAsia="宋体"/>
                <w:sz w:val="24"/>
                <w:szCs w:val="24"/>
              </w:rPr>
            </w:pPr>
            <w:r>
              <w:rPr>
                <w:rFonts w:hint="eastAsia" w:ascii="宋体" w:hAnsi="宋体" w:eastAsia="宋体"/>
                <w:sz w:val="24"/>
                <w:szCs w:val="24"/>
              </w:rPr>
              <w:t>c. 基于正态近似值。</w:t>
            </w:r>
          </w:p>
          <w:p>
            <w:pPr>
              <w:spacing w:line="320" w:lineRule="atLeast"/>
              <w:ind w:left="60" w:right="60"/>
              <w:rPr>
                <w:rFonts w:hint="eastAsia" w:ascii="宋体" w:hAnsi="宋体" w:eastAsia="宋体"/>
                <w:sz w:val="24"/>
                <w:szCs w:val="24"/>
              </w:rPr>
            </w:pPr>
          </w:p>
        </w:tc>
      </w:tr>
    </w:tbl>
    <w:p>
      <w:pPr>
        <w:rPr>
          <w:rFonts w:hint="eastAsia" w:ascii="宋体" w:hAnsi="宋体" w:eastAsia="宋体"/>
          <w:sz w:val="24"/>
          <w:szCs w:val="24"/>
        </w:rPr>
      </w:pPr>
      <w:r>
        <w:rPr>
          <w:rFonts w:hint="eastAsia" w:ascii="宋体" w:hAnsi="宋体" w:eastAsia="宋体"/>
          <w:sz w:val="24"/>
          <w:szCs w:val="24"/>
        </w:rPr>
        <w:t xml:space="preserve">   </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可见增加自我了解程度，有助于大学生逐渐明确自己未来的职业目标，做出适当相应的规划。进行自我了解是就业的第一步，每个人都有独特的兴趣特点和性格特征。科学的对自我进行测试，比如利用霍兰德职业兴趣测试、MBTI等进行自我认识。在探索中发现自己所擅长的领域，再通过自己对相关职业趋势，背景的了解，知己知彼才能选出最适合自己的职业，从而达到人职匹配的目的，以减少在就业时的盲目与不理智，增加自身的就业竞争力。</w:t>
      </w:r>
    </w:p>
    <w:p>
      <w:pPr>
        <w:keepNext w:val="0"/>
        <w:keepLines w:val="0"/>
        <w:pageBreakBefore w:val="0"/>
        <w:widowControl w:val="0"/>
        <w:kinsoku/>
        <w:wordWrap/>
        <w:overflowPunct/>
        <w:topLinePunct w:val="0"/>
        <w:autoSpaceDE w:val="0"/>
        <w:autoSpaceDN/>
        <w:bidi w:val="0"/>
        <w:adjustRightInd/>
        <w:snapToGrid/>
        <w:spacing w:line="440" w:lineRule="exact"/>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2.3.2.建立健康有效的就业观</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只有在树立正确的价值观，才能建立健康有效的就业观。人的三观（人生观、价值观、世界观）在大学时代才开始逐步建立，只有将社会需要与自身发展紧密的联系在一起，才能走的更稳、更长。因此在大学时期，更加需要大学生结合新常态下的社会就业现状，并客观分析自身特点，以实际情况出发找准自身定位，从容不迫的面对当前就业。这样在以后的面对选择、挑战的时候也能够多一份冷静和思考。</w:t>
      </w:r>
    </w:p>
    <w:p>
      <w:pPr>
        <w:keepNext w:val="0"/>
        <w:keepLines w:val="0"/>
        <w:pageBreakBefore w:val="0"/>
        <w:widowControl w:val="0"/>
        <w:kinsoku/>
        <w:wordWrap/>
        <w:overflowPunct/>
        <w:topLinePunct w:val="0"/>
        <w:autoSpaceDE w:val="0"/>
        <w:autoSpaceDN/>
        <w:bidi w:val="0"/>
        <w:adjustRightInd/>
        <w:snapToGrid/>
        <w:spacing w:line="440" w:lineRule="exact"/>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2.3.3.压力的自我调节</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color w:val="4C4C4C"/>
          <w:kern w:val="0"/>
          <w:sz w:val="24"/>
          <w:szCs w:val="24"/>
        </w:rPr>
        <w:t>“望子成龙，望女成凤”是每一个父母一直以来对孩子的期许，而父母对子女期待过高，有时候会导致子女的心理压力。大学阶段的我们心智还未完全成熟，做事冲动，在遇到问题的时候而又不知所措，遭遇到打击又极其容易怀疑自己。通常在心情低落的时候，人难免会不由自主想很多，这时所有的困惑、不安、焦虑、害怕涌上心头，往往导致心理压力过大。我们可以采取如下方式来进行自我的调节：</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（1）培养乐观的心态：尝试多微笑，笑容有治愈的功能，会让你忘却生活中不美好的事情。</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（2）进行体育锻炼：据实验表明，运动项目能够有效改善和降低人的心理压力。</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（3）自我肯定：做一些自己擅长的事情来肯定、鼓励自己，给自己增加自信心，正面的心理暗示也能够有效缓解压力，相信遇到的一切都是为了成就更好的自己，期待以后会更好。</w:t>
      </w:r>
    </w:p>
    <w:p>
      <w:pPr>
        <w:keepNext w:val="0"/>
        <w:keepLines w:val="0"/>
        <w:pageBreakBefore w:val="0"/>
        <w:widowControl w:val="0"/>
        <w:kinsoku/>
        <w:wordWrap/>
        <w:overflowPunct/>
        <w:topLinePunct w:val="0"/>
        <w:autoSpaceDE w:val="0"/>
        <w:autoSpaceDN/>
        <w:bidi w:val="0"/>
        <w:adjustRightInd/>
        <w:snapToGrid/>
        <w:spacing w:line="440" w:lineRule="exact"/>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2.3.4</w:t>
      </w:r>
      <w:r>
        <w:rPr>
          <w:rFonts w:hint="eastAsia" w:ascii="黑体" w:hAnsi="黑体" w:eastAsia="黑体" w:cs="黑体"/>
          <w:b w:val="0"/>
          <w:bCs w:val="0"/>
          <w:sz w:val="24"/>
          <w:szCs w:val="24"/>
        </w:rPr>
        <w:t>树立自主、终身学习的理念</w:t>
      </w:r>
    </w:p>
    <w:p>
      <w:pPr>
        <w:autoSpaceDE w:val="0"/>
        <w:spacing w:before="156" w:beforeLines="50" w:after="156" w:afterLines="50" w:line="360" w:lineRule="auto"/>
        <w:ind w:firstLine="480" w:firstLineChars="200"/>
        <w:jc w:val="left"/>
        <w:rPr>
          <w:rFonts w:hint="eastAsia" w:ascii="宋体" w:hAnsi="宋体" w:eastAsia="宋体"/>
          <w:color w:val="4C4C4C"/>
          <w:kern w:val="0"/>
          <w:sz w:val="24"/>
          <w:szCs w:val="24"/>
        </w:rPr>
      </w:pPr>
      <w:r>
        <w:rPr>
          <w:rFonts w:hint="eastAsia" w:ascii="宋体" w:hAnsi="宋体" w:eastAsia="宋体"/>
          <w:color w:val="4C4C4C"/>
          <w:kern w:val="0"/>
          <w:sz w:val="24"/>
          <w:szCs w:val="24"/>
        </w:rPr>
        <w:t>在经济新常态下，竞争日益激烈，只有自身持续不断的学习才能跟得上社会发展的需求。我们应该树立“活到老，学到老”这种终身学习的理念，来提高自己的就业竞争力。这样在走向工作岗位后，才能有后续发展的潜力与晋升的空间，以实现自我价值，为社会作出自己的贡献。</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textAlignment w:val="auto"/>
        <w:outlineLvl w:val="9"/>
        <w:rPr>
          <w:rFonts w:hint="eastAsia" w:ascii="宋体" w:hAnsi="宋体" w:eastAsia="宋体"/>
          <w:color w:val="4C4C4C"/>
          <w:kern w:val="0"/>
          <w:sz w:val="24"/>
          <w:szCs w:val="24"/>
        </w:rPr>
      </w:pPr>
      <w:r>
        <w:rPr>
          <w:rFonts w:hint="eastAsia" w:ascii="黑体" w:hAnsi="黑体" w:eastAsia="黑体" w:cs="黑体"/>
          <w:b w:val="0"/>
          <w:bCs w:val="0"/>
          <w:sz w:val="24"/>
          <w:szCs w:val="24"/>
        </w:rPr>
        <w:t>结束语：</w:t>
      </w:r>
      <w:r>
        <w:rPr>
          <w:rFonts w:hint="eastAsia" w:ascii="宋体" w:hAnsi="宋体" w:eastAsia="宋体"/>
          <w:color w:val="4C4C4C"/>
          <w:kern w:val="0"/>
          <w:sz w:val="24"/>
          <w:szCs w:val="24"/>
        </w:rPr>
        <w:t xml:space="preserve">就业是民生之本，大学生的就业问题在高等教育系统中已经成为了备受关注的话题。本研究从社会、高校、个人三方面分析了目前的就业形势以及趋势，并探讨了大学生就业困难的原因，从而多方面给出提高就业率的建议。希望本文的研究结果不仅有助于提高本院学生的就业竞争力，也对兄弟院校提高本科生就业率的有效举措的提出有一定的参考意义。因受到时间、资源等条件的限制，本文还存在着一些不足，敬请各位老师批评指正！ </w:t>
      </w:r>
    </w:p>
    <w:p>
      <w:pPr>
        <w:keepNext w:val="0"/>
        <w:keepLines w:val="0"/>
        <w:pageBreakBefore w:val="0"/>
        <w:widowControl w:val="0"/>
        <w:kinsoku/>
        <w:wordWrap/>
        <w:overflowPunct/>
        <w:topLinePunct w:val="0"/>
        <w:autoSpaceDN/>
        <w:bidi w:val="0"/>
        <w:adjustRightInd/>
        <w:snapToGrid/>
        <w:spacing w:line="440" w:lineRule="exact"/>
        <w:textAlignment w:val="auto"/>
        <w:outlineLvl w:val="9"/>
      </w:pPr>
    </w:p>
    <w:p>
      <w:pPr>
        <w:keepNext w:val="0"/>
        <w:keepLines w:val="0"/>
        <w:pageBreakBefore w:val="0"/>
        <w:widowControl w:val="0"/>
        <w:kinsoku/>
        <w:wordWrap/>
        <w:overflowPunct/>
        <w:topLinePunct w:val="0"/>
        <w:autoSpaceDN/>
        <w:bidi w:val="0"/>
        <w:adjustRightInd/>
        <w:snapToGrid/>
        <w:spacing w:line="440" w:lineRule="exact"/>
        <w:textAlignment w:val="auto"/>
        <w:outlineLvl w:val="9"/>
      </w:pPr>
    </w:p>
    <w:p>
      <w:pPr>
        <w:keepNext w:val="0"/>
        <w:keepLines w:val="0"/>
        <w:pageBreakBefore w:val="0"/>
        <w:widowControl w:val="0"/>
        <w:kinsoku/>
        <w:wordWrap/>
        <w:overflowPunct/>
        <w:topLinePunct w:val="0"/>
        <w:autoSpaceDN/>
        <w:bidi w:val="0"/>
        <w:adjustRightInd/>
        <w:snapToGrid/>
        <w:spacing w:line="440" w:lineRule="exac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参考文献：</w:t>
      </w:r>
    </w:p>
    <w:p>
      <w:pPr>
        <w:keepNext w:val="0"/>
        <w:keepLines w:val="0"/>
        <w:pageBreakBefore w:val="0"/>
        <w:widowControl w:val="0"/>
        <w:numPr>
          <w:ilvl w:val="0"/>
          <w:numId w:val="1"/>
        </w:numPr>
        <w:kinsoku/>
        <w:wordWrap/>
        <w:overflowPunct/>
        <w:topLinePunct w:val="0"/>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胡盛楠.本科生就业能力培养问题及对策研究--以山西省为例.[C].山西财经大学.2015.1.12.</w:t>
      </w:r>
    </w:p>
    <w:p>
      <w:pPr>
        <w:keepNext w:val="0"/>
        <w:keepLines w:val="0"/>
        <w:pageBreakBefore w:val="0"/>
        <w:widowControl w:val="0"/>
        <w:numPr>
          <w:ilvl w:val="0"/>
          <w:numId w:val="1"/>
        </w:numPr>
        <w:kinsoku/>
        <w:wordWrap/>
        <w:overflowPunct/>
        <w:topLinePunct w:val="0"/>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连慧.大学生职业生涯规划现状分析及对策研究.[C].湖北工业大学.2011.5.31.</w:t>
      </w:r>
    </w:p>
    <w:p>
      <w:pPr>
        <w:keepNext w:val="0"/>
        <w:keepLines w:val="0"/>
        <w:pageBreakBefore w:val="0"/>
        <w:widowControl w:val="0"/>
        <w:numPr>
          <w:ilvl w:val="0"/>
          <w:numId w:val="1"/>
        </w:numPr>
        <w:kinsoku/>
        <w:wordWrap/>
        <w:overflowPunct/>
        <w:topLinePunct w:val="0"/>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张杰.大学生职业生涯规划研究--</w:t>
      </w:r>
      <w:bookmarkStart w:id="0" w:name="_GoBack"/>
      <w:bookmarkEnd w:id="0"/>
      <w:r>
        <w:rPr>
          <w:rFonts w:hint="eastAsia" w:ascii="宋体" w:hAnsi="宋体" w:eastAsia="宋体" w:cs="宋体"/>
          <w:sz w:val="24"/>
          <w:szCs w:val="24"/>
          <w:lang w:val="en-US" w:eastAsia="zh-CN"/>
        </w:rPr>
        <w:t>以A高校为例.[C].延安大学.2013.6.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C4ECD"/>
    <w:multiLevelType w:val="singleLevel"/>
    <w:tmpl w:val="BBDC4E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65"/>
    <w:rsid w:val="006833D1"/>
    <w:rsid w:val="00A41365"/>
    <w:rsid w:val="00CE7193"/>
    <w:rsid w:val="00E53365"/>
    <w:rsid w:val="00ED614A"/>
    <w:rsid w:val="043E0497"/>
    <w:rsid w:val="06311627"/>
    <w:rsid w:val="12546839"/>
    <w:rsid w:val="155D3FE4"/>
    <w:rsid w:val="2BDC5E68"/>
    <w:rsid w:val="330F5766"/>
    <w:rsid w:val="3B4E1466"/>
    <w:rsid w:val="5619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2"/>
    <w:basedOn w:val="1"/>
    <w:next w:val="1"/>
    <w:link w:val="6"/>
    <w:qFormat/>
    <w:uiPriority w:val="99"/>
    <w:pPr>
      <w:keepNext/>
      <w:keepLines/>
      <w:spacing w:line="412" w:lineRule="auto"/>
      <w:ind w:firstLine="643" w:firstLineChars="200"/>
      <w:jc w:val="left"/>
      <w:outlineLvl w:val="1"/>
    </w:pPr>
    <w:rPr>
      <w:rFonts w:ascii="Arial" w:hAnsi="Arial" w:eastAsia="宋体"/>
      <w:b/>
      <w:bCs/>
      <w:sz w:val="24"/>
      <w:szCs w:val="2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HTML Preformatted"/>
    <w:basedOn w:val="1"/>
    <w:link w:val="7"/>
    <w:unhideWhenUsed/>
    <w:qFormat/>
    <w:uiPriority w:val="99"/>
    <w:pPr>
      <w:widowControl/>
      <w:jc w:val="left"/>
    </w:pPr>
    <w:rPr>
      <w:rFonts w:ascii="宋体" w:hAnsi="宋体" w:eastAsia="宋体" w:cs="宋体"/>
      <w:kern w:val="0"/>
      <w:sz w:val="24"/>
      <w:szCs w:val="24"/>
    </w:rPr>
  </w:style>
  <w:style w:type="character" w:customStyle="1" w:styleId="6">
    <w:name w:val="标题 2 字符"/>
    <w:basedOn w:val="4"/>
    <w:link w:val="2"/>
    <w:qFormat/>
    <w:uiPriority w:val="99"/>
    <w:rPr>
      <w:rFonts w:ascii="Arial" w:hAnsi="Arial" w:eastAsia="宋体" w:cs="Times New Roman"/>
      <w:b/>
      <w:bCs/>
      <w:sz w:val="24"/>
      <w:szCs w:val="24"/>
    </w:rPr>
  </w:style>
  <w:style w:type="character" w:customStyle="1" w:styleId="7">
    <w:name w:val="HTML 预设格式 字符"/>
    <w:basedOn w:val="4"/>
    <w:link w:val="3"/>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1266</Words>
  <Characters>7221</Characters>
  <Lines>60</Lines>
  <Paragraphs>16</Paragraphs>
  <TotalTime>60</TotalTime>
  <ScaleCrop>false</ScaleCrop>
  <LinksUpToDate>false</LinksUpToDate>
  <CharactersWithSpaces>8471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2018-04-22T01:54:00Z</dcterms:created>
  <dc:creator>Drift</dc:creator>
  <cp:lastModifiedBy>*远行、执念旧时光°</cp:lastModifiedBy>
  <dcterms:modified xsi:type="dcterms:W3CDTF">2018-05-26T07:20:58Z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